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color w:val="000000"/>
          <w:kern w:val="0"/>
          <w:sz w:val="24"/>
        </w:rPr>
      </w:pPr>
      <w:r>
        <w:rPr>
          <w:rFonts w:hint="eastAsia" w:ascii="宋体" w:hAnsi="宋体"/>
          <w:color w:val="000000"/>
          <w:kern w:val="0"/>
          <w:sz w:val="24"/>
        </w:rPr>
        <w:t xml:space="preserve">  </w:t>
      </w:r>
      <w:bookmarkStart w:id="0" w:name="SectionMark0"/>
    </w:p>
    <w:p>
      <w:pPr>
        <w:widowControl/>
        <w:spacing w:line="360" w:lineRule="auto"/>
        <w:rPr>
          <w:rFonts w:ascii="宋体" w:hAnsi="宋体"/>
          <w:color w:val="000000"/>
          <w:kern w:val="0"/>
          <w:sz w:val="24"/>
        </w:rPr>
      </w:pPr>
    </w:p>
    <w:p>
      <w:pPr>
        <w:widowControl/>
        <w:spacing w:line="360" w:lineRule="auto"/>
        <w:rPr>
          <w:rFonts w:ascii="宋体" w:hAnsi="宋体"/>
          <w:color w:val="000000"/>
          <w:kern w:val="0"/>
          <w:sz w:val="24"/>
        </w:rPr>
      </w:pPr>
      <w:r>
        <w:rPr>
          <w:rFonts w:ascii="宋体" w:hAnsi="宋体"/>
          <w:color w:val="000000"/>
          <w:kern w:val="0"/>
          <w:sz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55"/>
                              <w:rPr>
                                <w:b/>
                                <w:bCs/>
                                <w:sz w:val="52"/>
                              </w:rPr>
                            </w:pPr>
                            <w:r>
                              <w:rPr>
                                <w:b/>
                                <w:bCs/>
                                <w:sz w:val="52"/>
                              </w:rPr>
                              <w:t>XXX</w:t>
                            </w:r>
                          </w:p>
                          <w:p>
                            <w:pPr>
                              <w:pStyle w:val="55"/>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BiNgeLEAIAACwEAAAOAAAAAAAAAAEA&#10;IAAAACIBAABkcnMvZTJvRG9jLnhtbFBLBQYAAAAABgAGAFkBAACkBQAAAAA=&#10;">
                <v:fill on="t" focussize="0,0"/>
                <v:stroke on="f"/>
                <v:imagedata o:title=""/>
                <o:lock v:ext="edit" aspectratio="f"/>
                <v:textbox inset="0mm,0mm,0mm,0mm">
                  <w:txbxContent>
                    <w:p>
                      <w:pPr>
                        <w:pStyle w:val="55"/>
                        <w:rPr>
                          <w:b/>
                          <w:bCs/>
                          <w:sz w:val="52"/>
                        </w:rPr>
                      </w:pPr>
                      <w:r>
                        <w:rPr>
                          <w:b/>
                          <w:bCs/>
                          <w:sz w:val="52"/>
                        </w:rPr>
                        <w:t>XXX</w:t>
                      </w:r>
                    </w:p>
                    <w:p>
                      <w:pPr>
                        <w:pStyle w:val="55"/>
                      </w:pP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1312" behindDoc="0" locked="1" layoutInCell="1" allowOverlap="1">
                <wp:simplePos x="0" y="0"/>
                <wp:positionH relativeFrom="margin">
                  <wp:posOffset>2171700</wp:posOffset>
                </wp:positionH>
                <wp:positionV relativeFrom="margin">
                  <wp:posOffset>0</wp:posOffset>
                </wp:positionV>
                <wp:extent cx="3175000" cy="720090"/>
                <wp:effectExtent l="0" t="0" r="0" b="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6"/>
                              <w:rPr>
                                <w:sz w:val="52"/>
                              </w:rPr>
                            </w:pPr>
                            <w:r>
                              <w:rPr>
                                <w:sz w:val="52"/>
                              </w:rPr>
                              <w:t>XX</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71pt;margin-top:0pt;height:56.7pt;width:250pt;mso-position-horizontal-relative:margin;mso-position-vertical-relative:margin;z-index:251661312;mso-width-relative:page;mso-height-relative:page;" fillcolor="#FFFFFF" filled="t" stroked="f" coordsize="21600,21600" o:gfxdata="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R4wGdYAAAAIAQAADwAAAAAAAAABACAA&#10;AAAiAAAAZHJzL2Rvd25yZXYueG1sUEsBAhQAFAAAAAgAh07iQJ1KL5oPAgAALAQAAA4AAAAAAAAA&#10;AQAgAAAAJQEAAGRycy9lMm9Eb2MueG1sUEsFBgAAAAAGAAYAWQEAAKYFAAAAAA==&#10;">
                <v:fill on="t" focussize="0,0"/>
                <v:stroke on="f"/>
                <v:imagedata o:title=""/>
                <o:lock v:ext="edit" aspectratio="f"/>
                <v:textbox inset="0mm,0mm,0mm,0mm">
                  <w:txbxContent>
                    <w:p>
                      <w:pPr>
                        <w:pStyle w:val="56"/>
                        <w:rPr>
                          <w:sz w:val="52"/>
                        </w:rPr>
                      </w:pPr>
                      <w:r>
                        <w:rPr>
                          <w:sz w:val="52"/>
                        </w:rPr>
                        <w:t>XX</w:t>
                      </w:r>
                    </w:p>
                  </w:txbxContent>
                </v:textbox>
                <w10:anchorlock/>
              </v:shape>
            </w:pict>
          </mc:Fallback>
        </mc:AlternateContent>
      </w:r>
      <w:bookmarkStart w:id="43" w:name="_GoBack"/>
      <w:bookmarkEnd w:id="43"/>
      <w:r>
        <w:rPr>
          <w:rFonts w:ascii="宋体" w:hAnsi="宋体"/>
          <w:color w:val="000000"/>
          <w:kern w:val="0"/>
          <w:sz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7330440</wp:posOffset>
                </wp:positionV>
                <wp:extent cx="5372100" cy="396240"/>
                <wp:effectExtent l="0" t="0" r="0" b="0"/>
                <wp:wrapNone/>
                <wp:docPr id="14" name="fmFrame5"/>
                <wp:cNvGraphicFramePr/>
                <a:graphic xmlns:a="http://schemas.openxmlformats.org/drawingml/2006/main">
                  <a:graphicData uri="http://schemas.microsoft.com/office/word/2010/wordprocessingShape">
                    <wps:wsp>
                      <wps:cNvSpPr txBox="1">
                        <a:spLocks noChangeArrowheads="1"/>
                      </wps:cNvSpPr>
                      <wps:spPr bwMode="auto">
                        <a:xfrm>
                          <a:off x="0" y="0"/>
                          <a:ext cx="5372100" cy="396240"/>
                        </a:xfrm>
                        <a:prstGeom prst="rect">
                          <a:avLst/>
                        </a:prstGeom>
                        <a:solidFill>
                          <a:srgbClr val="FFFFFF"/>
                        </a:solidFill>
                        <a:ln>
                          <a:noFill/>
                        </a:ln>
                      </wps:spPr>
                      <wps:txbx>
                        <w:txbxContent>
                          <w:p>
                            <w:pPr>
                              <w:pStyle w:val="59"/>
                              <w:ind w:firstLine="140" w:firstLineChars="50"/>
                              <w:jc w:val="both"/>
                            </w:pPr>
                            <w:r>
                              <w:t>2023-</w:t>
                            </w:r>
                            <w:r>
                              <w:rPr>
                                <w:rFonts w:hint="eastAsia"/>
                              </w:rPr>
                              <w:t>xx</w:t>
                            </w:r>
                            <w:r>
                              <w:t>-</w:t>
                            </w:r>
                            <w:r>
                              <w:rPr>
                                <w:rFonts w:hint="eastAsia"/>
                              </w:rPr>
                              <w:t xml:space="preserve">xx发布                              </w:t>
                            </w:r>
                            <w:r>
                              <w:t>202</w:t>
                            </w:r>
                            <w:r>
                              <w:rPr>
                                <w:rFonts w:hint="eastAsia"/>
                              </w:rPr>
                              <w:t>x</w:t>
                            </w:r>
                            <w:r>
                              <w:t>-</w:t>
                            </w:r>
                            <w:r>
                              <w:rPr>
                                <w:rFonts w:hint="eastAsia"/>
                              </w:rPr>
                              <w:t>xx</w:t>
                            </w:r>
                            <w:r>
                              <w:t>-</w:t>
                            </w:r>
                            <w:r>
                              <w:rPr>
                                <w:rFonts w:hint="eastAsia"/>
                              </w:rPr>
                              <w:t>xx实施</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577.2pt;height:31.2pt;width:423pt;mso-position-horizontal-relative:margin;mso-position-vertical-relative:margin;z-index:251663360;mso-width-relative:page;mso-height-relative:page;" fillcolor="#FFFFFF" filled="t" stroked="f" coordsize="21600,21600" o:gfxdata="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dMTt1wAAAAoBAAAPAAAAAAAAAAEA&#10;IAAAACIAAABkcnMvZG93bnJldi54bWxQSwECFAAUAAAACACHTuJAKHGe/xACAAAsBAAADgAAAAAA&#10;AAABACAAAAAmAQAAZHJzL2Uyb0RvYy54bWxQSwUGAAAAAAYABgBZAQAAqAUAAAAA&#10;">
                <v:fill on="t" focussize="0,0"/>
                <v:stroke on="f"/>
                <v:imagedata o:title=""/>
                <o:lock v:ext="edit" aspectratio="f"/>
                <v:textbox inset="0mm,0mm,0mm,0mm">
                  <w:txbxContent>
                    <w:p>
                      <w:pPr>
                        <w:pStyle w:val="59"/>
                        <w:ind w:firstLine="140" w:firstLineChars="50"/>
                        <w:jc w:val="both"/>
                      </w:pPr>
                      <w:r>
                        <w:t>2023-</w:t>
                      </w:r>
                      <w:r>
                        <w:rPr>
                          <w:rFonts w:hint="eastAsia"/>
                        </w:rPr>
                        <w:t>xx</w:t>
                      </w:r>
                      <w:r>
                        <w:t>-</w:t>
                      </w:r>
                      <w:r>
                        <w:rPr>
                          <w:rFonts w:hint="eastAsia"/>
                        </w:rPr>
                        <w:t xml:space="preserve">xx发布                              </w:t>
                      </w:r>
                      <w:r>
                        <w:t>202</w:t>
                      </w:r>
                      <w:r>
                        <w:rPr>
                          <w:rFonts w:hint="eastAsia"/>
                        </w:rPr>
                        <w:t>x</w:t>
                      </w:r>
                      <w:r>
                        <w:t>-</w:t>
                      </w:r>
                      <w:r>
                        <w:rPr>
                          <w:rFonts w:hint="eastAsia"/>
                        </w:rPr>
                        <w:t>xx</w:t>
                      </w:r>
                      <w:r>
                        <w:t>-</w:t>
                      </w:r>
                      <w:r>
                        <w:rPr>
                          <w:rFonts w:hint="eastAsia"/>
                        </w:rPr>
                        <w:t>xx实施</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0288" behindDoc="0" locked="1" layoutInCell="1" allowOverlap="1">
                <wp:simplePos x="0" y="0"/>
                <wp:positionH relativeFrom="margin">
                  <wp:posOffset>3810</wp:posOffset>
                </wp:positionH>
                <wp:positionV relativeFrom="margin">
                  <wp:posOffset>795020</wp:posOffset>
                </wp:positionV>
                <wp:extent cx="5281295" cy="391160"/>
                <wp:effectExtent l="0" t="0" r="0" b="889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5281295" cy="391160"/>
                        </a:xfrm>
                        <a:prstGeom prst="rect">
                          <a:avLst/>
                        </a:prstGeom>
                        <a:solidFill>
                          <a:srgbClr val="FFFFFF"/>
                        </a:solidFill>
                        <a:ln>
                          <a:noFill/>
                        </a:ln>
                      </wps:spPr>
                      <wps:txbx>
                        <w:txbxContent>
                          <w:p>
                            <w:pPr>
                              <w:pStyle w:val="62"/>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3pt;margin-top:62.6pt;height:30.8pt;width:415.85pt;mso-position-horizontal-relative:margin;mso-position-vertical-relative:margin;z-index:251660288;mso-width-relative:page;mso-height-relative:page;" fillcolor="#FFFFFF" filled="t" stroked="f" coordsize="21600,21600" o:gfxdata="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Lrg9PWAAAACAEAAA8AAAAAAAAAAQAg&#10;AAAAIgAAAGRycy9kb3ducmV2LnhtbFBLAQIUABQAAAAIAIdO4kDKClS5EAIAACwEAAAOAAAAAAAA&#10;AAEAIAAAACUBAABkcnMvZTJvRG9jLnhtbFBLBQYAAAAABgAGAFkBAACnBQAAAAA=&#10;">
                <v:fill on="t" focussize="0,0"/>
                <v:stroke on="f"/>
                <v:imagedata o:title=""/>
                <o:lock v:ext="edit" aspectratio="f"/>
                <v:textbox inset="0mm,0mm,0mm,0mm">
                  <w:txbxContent>
                    <w:p>
                      <w:pPr>
                        <w:pStyle w:val="62"/>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1386840</wp:posOffset>
                </wp:positionV>
                <wp:extent cx="5802630" cy="594360"/>
                <wp:effectExtent l="0" t="0" r="0" b="0"/>
                <wp:wrapNone/>
                <wp:docPr id="1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594360"/>
                        </a:xfrm>
                        <a:prstGeom prst="rect">
                          <a:avLst/>
                        </a:prstGeom>
                        <a:solidFill>
                          <a:srgbClr val="FFFFFF"/>
                        </a:solidFill>
                        <a:ln>
                          <a:noFill/>
                        </a:ln>
                      </wps:spPr>
                      <wps:txbx>
                        <w:txbxContent>
                          <w:p>
                            <w:pPr>
                              <w:pStyle w:val="60"/>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09.2pt;height:46.8pt;width:456.9pt;mso-position-horizontal-relative:margin;mso-position-vertical-relative:margin;z-index:251662336;mso-width-relative:page;mso-height-relative:page;" fillcolor="#FFFFFF" filled="t" stroked="f" coordsize="21600,21600" o:gfxdata="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Z/t1wAAAAgBAAAPAAAAAAAAAAEA&#10;IAAAACIAAABkcnMvZG93bnJldi54bWxQSwECFAAUAAAACACHTuJA5I2k+xACAAAsBAAADgAAAAAA&#10;AAABACAAAAAmAQAAZHJzL2Uyb0RvYy54bWxQSwUGAAAAAAYABgBZAQAAqAUAAAAA&#10;">
                <v:fill on="t" focussize="0,0"/>
                <v:stroke on="f"/>
                <v:imagedata o:title=""/>
                <o:lock v:ext="edit" aspectratio="f"/>
                <v:textbox inset="0mm,0mm,0mm,0mm">
                  <w:txbxContent>
                    <w:p>
                      <w:pPr>
                        <w:pStyle w:val="60"/>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1875790</wp:posOffset>
                </wp:positionV>
                <wp:extent cx="6121400" cy="0"/>
                <wp:effectExtent l="0" t="0" r="12700" b="0"/>
                <wp:wrapNone/>
                <wp:docPr id="10" name="Line 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14.4pt;margin-top:147.7pt;height:0pt;width:482pt;z-index:251664384;mso-width-relative:page;mso-height-relative:page;" filled="f" stroked="t" coordsize="21600,21600" o:gfxdata="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0xmZ9kAAAALAQAADwAAAAAAAAABACAAAAAiAAAAZHJzL2Rv&#10;d25yZXYueG1sUEsBAhQAFAAAAAgAh07iQEfzvETHAQAAoQMAAA4AAAAAAAAAAQAgAAAAKAEAAGRy&#10;cy9lMm9Eb2MueG1sUEsFBgAAAAAGAAYAWQEAAGEFAAAAAA==&#10;">
                <v:fill on="f" focussize="0,0"/>
                <v:stroke weight="1pt" color="#FFFFFF" joinstyle="round"/>
                <v:imagedata o:title=""/>
                <o:lock v:ext="edit" aspectratio="f"/>
              </v:line>
            </w:pict>
          </mc:Fallback>
        </mc:AlternateContent>
      </w:r>
      <w:bookmarkEnd w:id="0"/>
    </w:p>
    <w:p>
      <w:pPr>
        <w:spacing w:before="240" w:beforeLines="100" w:after="240" w:afterLines="100" w:line="360" w:lineRule="auto"/>
        <w:rPr>
          <w:rFonts w:ascii="宋体" w:hAnsi="宋体"/>
          <w:b/>
          <w:bCs/>
          <w:color w:val="000000"/>
          <w:sz w:val="24"/>
        </w:rPr>
      </w:pPr>
    </w:p>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______________________________</w:t>
      </w:r>
      <w:r>
        <w:rPr>
          <w:rFonts w:hint="eastAsia" w:ascii="宋体" w:hAnsi="宋体" w:cs="宋体"/>
          <w:color w:val="000000"/>
          <w:kern w:val="0"/>
          <w:sz w:val="24"/>
          <w:u w:val="single"/>
        </w:rPr>
        <w:t>____   _____</w:t>
      </w:r>
      <w:r>
        <w:rPr>
          <w:rFonts w:hint="eastAsia" w:ascii="宋体" w:hAnsi="宋体" w:cs="宋体"/>
          <w:color w:val="000000"/>
          <w:kern w:val="0"/>
          <w:sz w:val="24"/>
        </w:rPr>
        <w:t>__________________</w:t>
      </w:r>
      <w:r>
        <w:rPr>
          <w:rFonts w:hint="eastAsia" w:ascii="宋体" w:hAnsi="宋体" w:cs="宋体"/>
          <w:color w:val="000000"/>
          <w:kern w:val="0"/>
          <w:sz w:val="24"/>
          <w:u w:val="single"/>
        </w:rPr>
        <w:t xml:space="preserve">        </w:t>
      </w:r>
      <w:r>
        <w:rPr>
          <w:rFonts w:hint="eastAsia" w:ascii="宋体" w:hAnsi="宋体" w:cs="宋体"/>
          <w:color w:val="000000"/>
          <w:kern w:val="0"/>
          <w:sz w:val="24"/>
        </w:rPr>
        <w:t>_</w:t>
      </w:r>
    </w:p>
    <w:p>
      <w:pPr>
        <w:spacing w:line="360" w:lineRule="auto"/>
        <w:rPr>
          <w:rFonts w:ascii="宋体" w:hAnsi="宋体"/>
          <w:b/>
          <w:bCs/>
          <w:color w:val="000000"/>
          <w:sz w:val="24"/>
          <w:u w:val="single"/>
        </w:rPr>
      </w:pPr>
      <w:r>
        <w:rPr>
          <w:rFonts w:hint="eastAsia" w:ascii="宋体" w:hAnsi="宋体"/>
          <w:b/>
          <w:bCs/>
          <w:color w:val="000000"/>
          <w:sz w:val="24"/>
          <w:u w:val="single"/>
        </w:rPr>
        <w:t xml:space="preserve">                                                                     </w:t>
      </w:r>
    </w:p>
    <w:p>
      <w:pPr>
        <w:spacing w:line="360" w:lineRule="auto"/>
        <w:rPr>
          <w:rFonts w:ascii="宋体" w:hAnsi="宋体"/>
          <w:b/>
          <w:bCs/>
          <w:color w:val="000000"/>
          <w:sz w:val="24"/>
        </w:rPr>
      </w:pPr>
    </w:p>
    <w:p>
      <w:pPr>
        <w:spacing w:line="360" w:lineRule="auto"/>
        <w:rPr>
          <w:rFonts w:ascii="宋体" w:hAnsi="宋体"/>
          <w:b/>
          <w:bCs/>
          <w:color w:val="000000"/>
          <w:sz w:val="24"/>
        </w:rPr>
      </w:pPr>
    </w:p>
    <w:p>
      <w:pPr>
        <w:spacing w:line="360" w:lineRule="auto"/>
        <w:jc w:val="center"/>
        <w:rPr>
          <w:rFonts w:ascii="黑体" w:hAnsi="黑体" w:eastAsia="黑体"/>
          <w:b/>
          <w:bCs/>
          <w:color w:val="000000"/>
          <w:sz w:val="52"/>
          <w:szCs w:val="52"/>
        </w:rPr>
      </w:pPr>
      <w:r>
        <w:rPr>
          <w:rFonts w:hint="eastAsia" w:ascii="黑体" w:hAnsi="黑体" w:eastAsia="黑体"/>
          <w:b/>
          <w:bCs/>
          <w:color w:val="000000"/>
          <w:sz w:val="52"/>
          <w:szCs w:val="52"/>
        </w:rPr>
        <w:t>钢制管道药芯焊丝熔化极气体保护焊技术标准</w:t>
      </w:r>
    </w:p>
    <w:p>
      <w:pPr>
        <w:spacing w:line="360" w:lineRule="auto"/>
        <w:ind w:left="1238" w:leftChars="84" w:hanging="1062" w:hangingChars="295"/>
        <w:jc w:val="center"/>
        <w:rPr>
          <w:bCs/>
          <w:color w:val="000000"/>
          <w:sz w:val="36"/>
          <w:szCs w:val="36"/>
        </w:rPr>
      </w:pPr>
      <w:r>
        <w:rPr>
          <w:bCs/>
          <w:color w:val="000000"/>
          <w:sz w:val="36"/>
          <w:szCs w:val="36"/>
        </w:rPr>
        <w:t>Technical standard for gas-shielded flux-cored arc welding process of steel pipeline</w:t>
      </w:r>
    </w:p>
    <w:p>
      <w:pPr>
        <w:spacing w:line="360" w:lineRule="auto"/>
        <w:jc w:val="center"/>
        <w:rPr>
          <w:rFonts w:hint="eastAsia" w:ascii="宋体" w:hAnsi="宋体" w:eastAsia="宋体"/>
          <w:color w:val="000000"/>
          <w:sz w:val="36"/>
          <w:szCs w:val="36"/>
          <w:lang w:eastAsia="zh-CN"/>
        </w:rPr>
      </w:pPr>
      <w:r>
        <w:rPr>
          <w:rFonts w:hint="eastAsia" w:ascii="宋体" w:hAnsi="宋体"/>
          <w:color w:val="000000"/>
          <w:sz w:val="36"/>
          <w:szCs w:val="36"/>
          <w:lang w:eastAsia="zh-CN"/>
        </w:rPr>
        <w:t>（</w:t>
      </w:r>
      <w:r>
        <w:rPr>
          <w:rFonts w:hint="eastAsia" w:ascii="宋体" w:hAnsi="宋体"/>
          <w:color w:val="000000"/>
          <w:sz w:val="36"/>
          <w:szCs w:val="36"/>
          <w:lang w:val="en-US" w:eastAsia="zh-CN"/>
        </w:rPr>
        <w:t>征求意见稿</w:t>
      </w:r>
      <w:r>
        <w:rPr>
          <w:rFonts w:hint="eastAsia" w:ascii="宋体" w:hAnsi="宋体"/>
          <w:color w:val="000000"/>
          <w:sz w:val="36"/>
          <w:szCs w:val="36"/>
          <w:lang w:eastAsia="zh-CN"/>
        </w:rPr>
        <w:t>）</w:t>
      </w:r>
    </w:p>
    <w:p>
      <w:pPr>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Style w:val="57"/>
          <w:rFonts w:ascii="宋体" w:hAnsi="宋体" w:eastAsia="宋体"/>
          <w:color w:val="000000"/>
          <w:sz w:val="24"/>
        </w:rPr>
      </w:pPr>
    </w:p>
    <w:p>
      <w:pPr>
        <w:pStyle w:val="58"/>
        <w:framePr w:w="0" w:hRule="auto" w:hSpace="0" w:vSpace="0" w:wrap="auto" w:vAnchor="margin" w:hAnchor="text" w:xAlign="left" w:yAlign="inline"/>
        <w:spacing w:line="360" w:lineRule="auto"/>
        <w:jc w:val="both"/>
        <w:rPr>
          <w:color w:val="000000"/>
          <w:w w:val="100"/>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28575</wp:posOffset>
                </wp:positionV>
                <wp:extent cx="5257800" cy="0"/>
                <wp:effectExtent l="0" t="0" r="0" b="0"/>
                <wp:wrapNone/>
                <wp:docPr id="9" name="Lin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5pt;margin-top:2.25pt;height:0pt;width:414pt;z-index:251666432;mso-width-relative:page;mso-height-relative:page;" filled="f" stroked="t" coordsize="21600,21600" o:gfxdata="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BFe0gAAAAYBAAAPAAAAAAAAAAEAIAAAACIAAABkcnMvZG93bnJldi54&#10;bWxQSwECFAAUAAAACACHTuJAuHJN0ccBAACfAwAADgAAAAAAAAABACAAAAAhAQAAZHJzL2Uyb0Rv&#10;Yy54bWxQSwUGAAAAAAYABgBZAQAAWgUAAAAA&#10;">
                <v:fill on="f" focussize="0,0"/>
                <v:stroke color="#000000" joinstyle="round"/>
                <v:imagedata o:title=""/>
                <o:lock v:ext="edit" aspectratio="f"/>
              </v:line>
            </w:pict>
          </mc:Fallback>
        </mc:AlternateContent>
      </w:r>
      <w:r>
        <w:rPr>
          <w:color w:val="000000"/>
          <w:w w:val="100"/>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209550</wp:posOffset>
                </wp:positionV>
                <wp:extent cx="5281295" cy="554355"/>
                <wp:effectExtent l="0" t="3175" r="0" b="4445"/>
                <wp:wrapNone/>
                <wp:docPr id="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281295" cy="554355"/>
                        </a:xfrm>
                        <a:prstGeom prst="rect">
                          <a:avLst/>
                        </a:prstGeom>
                        <a:solidFill>
                          <a:srgbClr val="FFFFFF"/>
                        </a:solidFill>
                        <a:ln>
                          <a:noFill/>
                        </a:ln>
                      </wps:spPr>
                      <wps:txb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pt;margin-top:16.5pt;height:43.65pt;width:415.85pt;z-index:251667456;mso-width-relative:page;mso-height-relative:page;" fillcolor="#FFFFFF" filled="t" stroked="f" coordsize="21600,21600" o:gfxdata="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baF+1gAAAAcBAAAP&#10;AAAAAAAAAAEAIAAAACIAAABkcnMvZG93bnJldi54bWxQSwECFAAUAAAACACHTuJA5OR2rxoCAAA+&#10;BAAADgAAAAAAAAABACAAAAAlAQAAZHJzL2Uyb0RvYy54bWxQSwUGAAAAAAYABgBZAQAAsQUAAAAA&#10;">
                <v:fill on="t" focussize="0,0"/>
                <v:stroke on="f"/>
                <v:imagedata o:title=""/>
                <o:lock v:ext="edit" aspectratio="f"/>
                <v:textbo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v:textbox>
              </v:shape>
            </w:pict>
          </mc:Fallback>
        </mc:AlternateContent>
      </w:r>
      <w:r>
        <w:rPr>
          <w:color w:val="000000"/>
          <w:spacing w:val="22"/>
          <w:w w:val="100"/>
          <w:position w:val="3"/>
          <w:szCs w:val="32"/>
        </w:rPr>
        <mc:AlternateContent>
          <mc:Choice Requires="wps">
            <w:drawing>
              <wp:anchor distT="0" distB="0" distL="114300" distR="114300" simplePos="0" relativeHeight="251665408" behindDoc="0" locked="1" layoutInCell="1" allowOverlap="1">
                <wp:simplePos x="0" y="0"/>
                <wp:positionH relativeFrom="column">
                  <wp:posOffset>4231005</wp:posOffset>
                </wp:positionH>
                <wp:positionV relativeFrom="paragraph">
                  <wp:posOffset>-172085</wp:posOffset>
                </wp:positionV>
                <wp:extent cx="1028700" cy="363855"/>
                <wp:effectExtent l="0" t="0" r="0" b="0"/>
                <wp:wrapNone/>
                <wp:docPr id="7" name="Text Box 8"/>
                <wp:cNvGraphicFramePr/>
                <a:graphic xmlns:a="http://schemas.openxmlformats.org/drawingml/2006/main">
                  <a:graphicData uri="http://schemas.microsoft.com/office/word/2010/wordprocessingShape">
                    <wps:wsp>
                      <wps:cNvSpPr txBox="1">
                        <a:spLocks noChangeArrowheads="1"/>
                      </wps:cNvSpPr>
                      <wps:spPr bwMode="auto">
                        <a:xfrm>
                          <a:off x="0" y="0"/>
                          <a:ext cx="1028700" cy="363855"/>
                        </a:xfrm>
                        <a:prstGeom prst="rect">
                          <a:avLst/>
                        </a:prstGeom>
                        <a:noFill/>
                        <a:ln>
                          <a:noFill/>
                        </a:ln>
                      </wps:spPr>
                      <wps:txbx>
                        <w:txbxContent>
                          <w:p>
                            <w:r>
                              <w:rPr>
                                <w:rFonts w:hint="eastAsia" w:eastAsia="黑体"/>
                                <w:sz w:val="28"/>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333.15pt;margin-top:-13.55pt;height:28.65pt;width:81pt;z-index:251665408;mso-width-relative:page;mso-height-relative:page;" filled="f" stroked="f" coordsize="21600,21600" o:gfxdata="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&#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c+X51wAAAAoBAAAPAAAAAAAAAAEAIAAAACIAAABk&#10;cnMvZG93bnJldi54bWxQSwECFAAUAAAACACHTuJAM+WccgcCAAAUBAAADgAAAAAAAAABACAAAAAm&#10;AQAAZHJzL2Uyb0RvYy54bWxQSwUGAAAAAAYABgBZAQAAnwUAAAAA&#10;">
                <v:fill on="f" focussize="0,0"/>
                <v:stroke on="f"/>
                <v:imagedata o:title=""/>
                <o:lock v:ext="edit" aspectratio="f"/>
                <v:textbox>
                  <w:txbxContent>
                    <w:p>
                      <w:r>
                        <w:rPr>
                          <w:rFonts w:hint="eastAsia" w:eastAsia="黑体"/>
                          <w:sz w:val="28"/>
                        </w:rPr>
                        <w:t xml:space="preserve"> </w:t>
                      </w:r>
                    </w:p>
                  </w:txbxContent>
                </v:textbox>
                <w10:anchorlock/>
              </v:shape>
            </w:pict>
          </mc:Fallback>
        </mc:AlternateContent>
      </w:r>
      <w:r>
        <w:rPr>
          <w:rFonts w:hint="eastAsia"/>
          <w:color w:val="000000"/>
          <w:w w:val="100"/>
        </w:rPr>
        <w:t xml:space="preserve">  </w:t>
      </w:r>
    </w:p>
    <w:p>
      <w:pPr>
        <w:pStyle w:val="58"/>
        <w:framePr w:w="0" w:hRule="auto" w:hSpace="0" w:vSpace="0" w:wrap="auto" w:vAnchor="margin" w:hAnchor="text" w:xAlign="left" w:yAlign="inline"/>
        <w:spacing w:line="360" w:lineRule="auto"/>
        <w:jc w:val="both"/>
        <w:rPr>
          <w:color w:val="000000"/>
          <w:kern w:val="56"/>
          <w:szCs w:val="32"/>
        </w:rPr>
      </w:pPr>
    </w:p>
    <w:p>
      <w:pPr>
        <w:spacing w:line="320" w:lineRule="exact"/>
        <w:rPr>
          <w:rFonts w:ascii="宋体" w:hAnsi="宋体"/>
          <w:b/>
          <w:color w:val="000000"/>
          <w:sz w:val="30"/>
          <w:szCs w:val="30"/>
        </w:rPr>
      </w:pPr>
    </w:p>
    <w:p>
      <w:pPr>
        <w:spacing w:line="320" w:lineRule="exact"/>
        <w:rPr>
          <w:rFonts w:ascii="宋体" w:hAnsi="宋体"/>
          <w:b/>
          <w:color w:val="000000"/>
          <w:sz w:val="30"/>
          <w:szCs w:val="30"/>
        </w:rPr>
      </w:pPr>
    </w:p>
    <w:p>
      <w:pPr>
        <w:spacing w:line="320" w:lineRule="exact"/>
        <w:jc w:val="center"/>
        <w:rPr>
          <w:rFonts w:ascii="黑体" w:hAnsi="黑体" w:eastAsia="黑体"/>
          <w:b/>
          <w:bCs/>
          <w:sz w:val="32"/>
          <w:szCs w:val="32"/>
        </w:rPr>
        <w:sectPr>
          <w:footerReference r:id="rId3" w:type="default"/>
          <w:pgSz w:w="11906" w:h="16838"/>
          <w:pgMar w:top="1440" w:right="1797" w:bottom="1440" w:left="1797" w:header="851" w:footer="992" w:gutter="0"/>
          <w:pgNumType w:fmt="upperRoman" w:start="1"/>
          <w:cols w:space="425" w:num="1"/>
          <w:titlePg/>
          <w:docGrid w:linePitch="312" w:charSpace="0"/>
        </w:sectPr>
      </w:pPr>
    </w:p>
    <w:p>
      <w:pPr>
        <w:spacing w:line="320" w:lineRule="exact"/>
        <w:jc w:val="center"/>
        <w:rPr>
          <w:rFonts w:ascii="黑体" w:hAnsi="黑体" w:eastAsia="黑体"/>
          <w:b/>
          <w:sz w:val="32"/>
          <w:szCs w:val="32"/>
        </w:rPr>
      </w:pPr>
      <w:r>
        <w:rPr>
          <w:rFonts w:hint="eastAsia" w:ascii="黑体" w:hAnsi="黑体" w:eastAsia="黑体"/>
          <w:b/>
          <w:bCs/>
          <w:sz w:val="32"/>
          <w:szCs w:val="32"/>
        </w:rPr>
        <w:t xml:space="preserve">前 </w:t>
      </w:r>
      <w:r>
        <w:rPr>
          <w:rFonts w:ascii="黑体" w:hAnsi="黑体" w:eastAsia="黑体"/>
          <w:b/>
          <w:bCs/>
          <w:sz w:val="32"/>
          <w:szCs w:val="32"/>
        </w:rPr>
        <w:t xml:space="preserve">   </w:t>
      </w:r>
      <w:r>
        <w:rPr>
          <w:rFonts w:hint="eastAsia" w:ascii="黑体" w:hAnsi="黑体" w:eastAsia="黑体"/>
          <w:b/>
          <w:bCs/>
          <w:sz w:val="32"/>
          <w:szCs w:val="32"/>
        </w:rPr>
        <w:t>言</w:t>
      </w:r>
    </w:p>
    <w:p>
      <w:pPr>
        <w:spacing w:line="320" w:lineRule="exact"/>
        <w:ind w:firstLine="420" w:firstLineChars="200"/>
        <w:jc w:val="left"/>
        <w:rPr>
          <w:rFonts w:cs="宋体" w:asciiTheme="minorEastAsia" w:hAnsiTheme="minorEastAsia" w:eastAsiaTheme="minorEastAsia"/>
          <w:szCs w:val="21"/>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近年来，熔化极气体保护焊用药芯焊丝制造工艺日趋成熟，使用中具有焊接效率高、易于实现机动化或自动化、材料利用率高等优势，在管道焊接中应用场景逐步增加。本标准在制定过程中，对药芯焊丝熔化极气体保护焊在管道中的应用进行了广泛、深入的调查研究，认真总结了多年来药芯焊丝制造、检验、使用等方面的经验，参考有关国际标准和国外先进标准，制订本标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本标准主要内容包括：</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明确了药芯焊丝在不同类型、材质管道焊接中的使用范围；</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明确了药芯焊丝相关定义和术语；</w:t>
      </w:r>
    </w:p>
    <w:p>
      <w:pPr>
        <w:pStyle w:val="84"/>
        <w:numPr>
          <w:ilvl w:val="0"/>
          <w:numId w:val="2"/>
        </w:numPr>
        <w:spacing w:line="360" w:lineRule="auto"/>
        <w:ind w:firstLineChars="0"/>
        <w:rPr>
          <w:rFonts w:cs="宋体" w:asciiTheme="minorEastAsia" w:hAnsiTheme="minorEastAsia" w:eastAsiaTheme="minorEastAsia"/>
          <w:sz w:val="24"/>
          <w:highlight w:val="yellow"/>
        </w:rPr>
      </w:pPr>
      <w:r>
        <w:rPr>
          <w:rFonts w:hint="eastAsia" w:cs="宋体" w:asciiTheme="minorEastAsia" w:hAnsiTheme="minorEastAsia" w:eastAsiaTheme="minorEastAsia"/>
          <w:sz w:val="24"/>
          <w:highlight w:val="yellow"/>
        </w:rPr>
        <w:t>明确了</w:t>
      </w:r>
      <w:r>
        <w:rPr>
          <w:rFonts w:eastAsiaTheme="minorEastAsia"/>
          <w:sz w:val="24"/>
          <w:highlight w:val="yellow"/>
        </w:rPr>
        <w:t>药芯焊丝制造商质量保证体系</w:t>
      </w:r>
      <w:r>
        <w:rPr>
          <w:rFonts w:hint="eastAsia" w:eastAsiaTheme="minorEastAsia"/>
          <w:sz w:val="24"/>
          <w:highlight w:val="yellow"/>
        </w:rPr>
        <w:t>要求</w:t>
      </w:r>
      <w:r>
        <w:rPr>
          <w:rFonts w:hint="eastAsia" w:cs="宋体" w:asciiTheme="minorEastAsia" w:hAnsiTheme="minorEastAsia" w:eastAsiaTheme="minorEastAsia"/>
          <w:sz w:val="24"/>
          <w:highlight w:val="yellow"/>
        </w:rPr>
        <w:t>和验收标准；</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制订了药芯焊丝储存、使用过程管理要点；</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制订了药芯焊丝熔化极气体保护焊接工艺要点；</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规定了药芯焊丝熔化极气体保护焊焊接质量检验标准；</w:t>
      </w:r>
    </w:p>
    <w:p>
      <w:pPr>
        <w:pStyle w:val="84"/>
        <w:numPr>
          <w:ilvl w:val="0"/>
          <w:numId w:val="2"/>
        </w:numPr>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编制了国内外药芯焊丝型号对照、药芯焊丝与母材选用对照等。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本规范由山东省特种设备协会负责管理，由 </w:t>
      </w:r>
      <w:r>
        <w:rPr>
          <w:rFonts w:asciiTheme="minorEastAsia" w:hAnsiTheme="minorEastAsia" w:eastAsiaTheme="minorEastAsia"/>
          <w:sz w:val="24"/>
        </w:rPr>
        <w:t xml:space="preserve">        </w:t>
      </w:r>
      <w:r>
        <w:rPr>
          <w:rFonts w:hint="eastAsia" w:asciiTheme="minorEastAsia" w:hAnsiTheme="minorEastAsia" w:eastAsiaTheme="minorEastAsia"/>
          <w:sz w:val="24"/>
        </w:rPr>
        <w:t>负责具体技术内容的解释。执行过程中如有意见或建议，请寄送。</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本次局部修订的主编单位、参编单位、主要起草人和主要审查人：</w:t>
      </w:r>
    </w:p>
    <w:p>
      <w:pPr>
        <w:spacing w:line="360" w:lineRule="auto"/>
        <w:rPr>
          <w:rFonts w:ascii="宋体" w:hAnsi="宋体"/>
          <w:b/>
          <w:color w:val="000000"/>
          <w:sz w:val="24"/>
        </w:rPr>
      </w:pPr>
    </w:p>
    <w:p>
      <w:pPr>
        <w:jc w:val="center"/>
        <w:rPr>
          <w:rFonts w:ascii="宋体" w:hAnsi="宋体"/>
          <w:b/>
          <w:color w:val="000000"/>
          <w:sz w:val="30"/>
          <w:szCs w:val="30"/>
        </w:rPr>
      </w:pPr>
    </w:p>
    <w:p>
      <w:pPr>
        <w:widowControl/>
        <w:jc w:val="center"/>
        <w:rPr>
          <w:rFonts w:ascii="黑体" w:hAnsi="黑体" w:eastAsia="黑体"/>
          <w:b/>
          <w:color w:val="000000"/>
          <w:sz w:val="32"/>
          <w:szCs w:val="32"/>
        </w:rPr>
      </w:pPr>
      <w:r>
        <w:rPr>
          <w:rFonts w:ascii="宋体" w:hAnsi="宋体"/>
          <w:b/>
          <w:color w:val="000000"/>
          <w:sz w:val="30"/>
          <w:szCs w:val="30"/>
        </w:rPr>
        <w:br w:type="page"/>
      </w:r>
      <w:r>
        <w:rPr>
          <w:rFonts w:hint="eastAsia" w:ascii="黑体" w:hAnsi="黑体" w:eastAsia="黑体"/>
          <w:b/>
          <w:color w:val="000000"/>
          <w:sz w:val="32"/>
          <w:szCs w:val="32"/>
        </w:rPr>
        <w:t>目    次</w:t>
      </w:r>
    </w:p>
    <w:p>
      <w:pPr>
        <w:jc w:val="center"/>
        <w:rPr>
          <w:rFonts w:ascii="宋体" w:hAnsi="宋体"/>
          <w:b/>
          <w:color w:val="000000"/>
          <w:sz w:val="30"/>
          <w:szCs w:val="30"/>
        </w:rPr>
      </w:pPr>
    </w:p>
    <w:p>
      <w:pPr>
        <w:pStyle w:val="20"/>
        <w:tabs>
          <w:tab w:val="left" w:pos="420"/>
          <w:tab w:val="right" w:leader="dot" w:pos="8302"/>
        </w:tabs>
        <w:spacing w:line="360" w:lineRule="auto"/>
        <w:rPr>
          <w:rFonts w:eastAsiaTheme="minorEastAsia" w:cstheme="minorBidi"/>
          <w:b w:val="0"/>
          <w:bCs w:val="0"/>
          <w:caps w:val="0"/>
          <w:sz w:val="24"/>
          <w:szCs w:val="24"/>
        </w:rPr>
      </w:pPr>
      <w:r>
        <w:rPr>
          <w:rFonts w:ascii="宋体" w:hAnsi="宋体" w:cs="Times New Roman"/>
          <w:b w:val="0"/>
          <w:smallCaps/>
          <w:color w:val="000000"/>
          <w:sz w:val="24"/>
          <w:szCs w:val="24"/>
        </w:rPr>
        <w:fldChar w:fldCharType="begin"/>
      </w:r>
      <w:r>
        <w:rPr>
          <w:rFonts w:ascii="宋体" w:hAnsi="宋体" w:cs="Times New Roman"/>
          <w:b w:val="0"/>
          <w:smallCaps/>
          <w:color w:val="000000"/>
          <w:sz w:val="24"/>
          <w:szCs w:val="24"/>
        </w:rPr>
        <w:instrText xml:space="preserve"> TOC \o "1-2" \h \z \u </w:instrText>
      </w:r>
      <w:r>
        <w:rPr>
          <w:rFonts w:ascii="宋体" w:hAnsi="宋体" w:cs="Times New Roman"/>
          <w:b w:val="0"/>
          <w:smallCaps/>
          <w:color w:val="000000"/>
          <w:sz w:val="24"/>
          <w:szCs w:val="24"/>
        </w:rPr>
        <w:fldChar w:fldCharType="separate"/>
      </w:r>
      <w:r>
        <w:fldChar w:fldCharType="begin"/>
      </w:r>
      <w:r>
        <w:instrText xml:space="preserve"> HYPERLINK \l "_Toc131325322" </w:instrText>
      </w:r>
      <w:r>
        <w:fldChar w:fldCharType="separate"/>
      </w:r>
      <w:r>
        <w:rPr>
          <w:rStyle w:val="37"/>
          <w:rFonts w:asciiTheme="minorEastAsia" w:hAnsiTheme="minorEastAsia"/>
          <w:b w:val="0"/>
          <w:sz w:val="24"/>
          <w:szCs w:val="24"/>
        </w:rPr>
        <w:t>1</w:t>
      </w:r>
      <w:r>
        <w:rPr>
          <w:rFonts w:eastAsiaTheme="minorEastAsia" w:cstheme="minorBidi"/>
          <w:b w:val="0"/>
          <w:bCs w:val="0"/>
          <w:caps w:val="0"/>
          <w:sz w:val="24"/>
          <w:szCs w:val="24"/>
        </w:rPr>
        <w:tab/>
      </w:r>
      <w:r>
        <w:rPr>
          <w:rStyle w:val="37"/>
          <w:rFonts w:asciiTheme="minorEastAsia" w:hAnsiTheme="minorEastAsia"/>
          <w:b w:val="0"/>
          <w:sz w:val="24"/>
          <w:szCs w:val="24"/>
        </w:rPr>
        <w:t>范围</w:t>
      </w:r>
      <w:r>
        <w:rPr>
          <w:b w:val="0"/>
          <w:sz w:val="24"/>
          <w:szCs w:val="24"/>
        </w:rPr>
        <w:tab/>
      </w:r>
      <w:r>
        <w:rPr>
          <w:b w:val="0"/>
          <w:sz w:val="24"/>
          <w:szCs w:val="24"/>
        </w:rPr>
        <w:fldChar w:fldCharType="begin"/>
      </w:r>
      <w:r>
        <w:rPr>
          <w:b w:val="0"/>
          <w:sz w:val="24"/>
          <w:szCs w:val="24"/>
        </w:rPr>
        <w:instrText xml:space="preserve"> PAGEREF _Toc131325322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"_Toc131325323" </w:instrText>
      </w:r>
      <w:r>
        <w:fldChar w:fldCharType="separate"/>
      </w:r>
      <w:r>
        <w:rPr>
          <w:rStyle w:val="37"/>
          <w:rFonts w:asciiTheme="minorEastAsia" w:hAnsiTheme="minorEastAsia"/>
          <w:b w:val="0"/>
          <w:sz w:val="24"/>
          <w:szCs w:val="24"/>
        </w:rPr>
        <w:t>2   规范性引用文件</w:t>
      </w:r>
      <w:r>
        <w:rPr>
          <w:b w:val="0"/>
          <w:sz w:val="24"/>
          <w:szCs w:val="24"/>
        </w:rPr>
        <w:tab/>
      </w:r>
      <w:r>
        <w:rPr>
          <w:b w:val="0"/>
          <w:sz w:val="24"/>
          <w:szCs w:val="24"/>
        </w:rPr>
        <w:fldChar w:fldCharType="begin"/>
      </w:r>
      <w:r>
        <w:rPr>
          <w:b w:val="0"/>
          <w:sz w:val="24"/>
          <w:szCs w:val="24"/>
        </w:rPr>
        <w:instrText xml:space="preserve"> PAGEREF _Toc131325323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"_Toc131325324" </w:instrText>
      </w:r>
      <w:r>
        <w:fldChar w:fldCharType="separate"/>
      </w:r>
      <w:r>
        <w:rPr>
          <w:rStyle w:val="37"/>
          <w:rFonts w:asciiTheme="minorEastAsia" w:hAnsiTheme="minorEastAsia"/>
          <w:b w:val="0"/>
          <w:sz w:val="24"/>
          <w:szCs w:val="24"/>
        </w:rPr>
        <w:t>3   术语和定义</w:t>
      </w:r>
      <w:r>
        <w:rPr>
          <w:b w:val="0"/>
          <w:sz w:val="24"/>
          <w:szCs w:val="24"/>
        </w:rPr>
        <w:tab/>
      </w:r>
      <w:r>
        <w:rPr>
          <w:b w:val="0"/>
          <w:sz w:val="24"/>
          <w:szCs w:val="24"/>
        </w:rPr>
        <w:fldChar w:fldCharType="begin"/>
      </w:r>
      <w:r>
        <w:rPr>
          <w:b w:val="0"/>
          <w:sz w:val="24"/>
          <w:szCs w:val="24"/>
        </w:rPr>
        <w:instrText xml:space="preserve"> PAGEREF _Toc131325324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"_Toc131325325" </w:instrText>
      </w:r>
      <w:r>
        <w:fldChar w:fldCharType="separate"/>
      </w:r>
      <w:r>
        <w:rPr>
          <w:rStyle w:val="37"/>
          <w:rFonts w:asciiTheme="minorEastAsia" w:hAnsiTheme="minorEastAsia"/>
          <w:b w:val="0"/>
          <w:sz w:val="24"/>
          <w:szCs w:val="24"/>
        </w:rPr>
        <w:t>4  基本规定</w:t>
      </w:r>
      <w:r>
        <w:rPr>
          <w:b w:val="0"/>
          <w:sz w:val="24"/>
          <w:szCs w:val="24"/>
        </w:rPr>
        <w:tab/>
      </w:r>
      <w:r>
        <w:rPr>
          <w:b w:val="0"/>
          <w:sz w:val="24"/>
          <w:szCs w:val="24"/>
        </w:rPr>
        <w:fldChar w:fldCharType="begin"/>
      </w:r>
      <w:r>
        <w:rPr>
          <w:b w:val="0"/>
          <w:sz w:val="24"/>
          <w:szCs w:val="24"/>
        </w:rPr>
        <w:instrText xml:space="preserve"> PAGEREF _Toc131325325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"_Toc131325326" </w:instrText>
      </w:r>
      <w:r>
        <w:fldChar w:fldCharType="separate"/>
      </w:r>
      <w:r>
        <w:rPr>
          <w:rStyle w:val="37"/>
          <w:rFonts w:asciiTheme="minorEastAsia" w:hAnsiTheme="minorEastAsia"/>
          <w:b w:val="0"/>
          <w:sz w:val="24"/>
          <w:szCs w:val="24"/>
        </w:rPr>
        <w:t>5  药芯焊丝</w:t>
      </w:r>
      <w:r>
        <w:rPr>
          <w:b w:val="0"/>
          <w:sz w:val="24"/>
          <w:szCs w:val="24"/>
        </w:rPr>
        <w:tab/>
      </w:r>
      <w:r>
        <w:rPr>
          <w:b w:val="0"/>
          <w:sz w:val="24"/>
          <w:szCs w:val="24"/>
        </w:rPr>
        <w:fldChar w:fldCharType="begin"/>
      </w:r>
      <w:r>
        <w:rPr>
          <w:b w:val="0"/>
          <w:sz w:val="24"/>
          <w:szCs w:val="24"/>
        </w:rPr>
        <w:instrText xml:space="preserve"> PAGEREF _Toc131325326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"_Toc131325327" </w:instrText>
      </w:r>
      <w:r>
        <w:fldChar w:fldCharType="separate"/>
      </w:r>
      <w:r>
        <w:rPr>
          <w:rStyle w:val="37"/>
          <w:rFonts w:asciiTheme="minorEastAsia" w:hAnsiTheme="minorEastAsia"/>
          <w:b w:val="0"/>
          <w:sz w:val="24"/>
          <w:szCs w:val="24"/>
        </w:rPr>
        <w:t>5.1  一般规定</w:t>
      </w:r>
      <w:r>
        <w:rPr>
          <w:b w:val="0"/>
          <w:sz w:val="24"/>
          <w:szCs w:val="24"/>
        </w:rPr>
        <w:tab/>
      </w:r>
      <w:r>
        <w:rPr>
          <w:b w:val="0"/>
          <w:sz w:val="24"/>
          <w:szCs w:val="24"/>
        </w:rPr>
        <w:fldChar w:fldCharType="begin"/>
      </w:r>
      <w:r>
        <w:rPr>
          <w:b w:val="0"/>
          <w:sz w:val="24"/>
          <w:szCs w:val="24"/>
        </w:rPr>
        <w:instrText xml:space="preserve"> PAGEREF _Toc131325327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"_Toc131325328" </w:instrText>
      </w:r>
      <w:r>
        <w:fldChar w:fldCharType="separate"/>
      </w:r>
      <w:r>
        <w:rPr>
          <w:rStyle w:val="37"/>
          <w:rFonts w:asciiTheme="minorEastAsia" w:hAnsiTheme="minorEastAsia"/>
          <w:b w:val="0"/>
          <w:sz w:val="24"/>
          <w:szCs w:val="24"/>
        </w:rPr>
        <w:t>5.2  扩散氢含量</w:t>
      </w:r>
      <w:r>
        <w:rPr>
          <w:b w:val="0"/>
          <w:sz w:val="24"/>
          <w:szCs w:val="24"/>
        </w:rPr>
        <w:tab/>
      </w:r>
      <w:r>
        <w:rPr>
          <w:b w:val="0"/>
          <w:sz w:val="24"/>
          <w:szCs w:val="24"/>
        </w:rPr>
        <w:fldChar w:fldCharType="begin"/>
      </w:r>
      <w:r>
        <w:rPr>
          <w:b w:val="0"/>
          <w:sz w:val="24"/>
          <w:szCs w:val="24"/>
        </w:rPr>
        <w:instrText xml:space="preserve"> PAGEREF _Toc131325328 \h </w:instrText>
      </w:r>
      <w:r>
        <w:rPr>
          <w:b w:val="0"/>
          <w:sz w:val="24"/>
          <w:szCs w:val="24"/>
        </w:rPr>
        <w:fldChar w:fldCharType="separate"/>
      </w:r>
      <w:r>
        <w:rPr>
          <w:b w:val="0"/>
          <w:sz w:val="24"/>
          <w:szCs w:val="24"/>
        </w:rPr>
        <w:t>7</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"_Toc131325329" </w:instrText>
      </w:r>
      <w:r>
        <w:fldChar w:fldCharType="separate"/>
      </w:r>
      <w:r>
        <w:rPr>
          <w:rStyle w:val="37"/>
          <w:rFonts w:asciiTheme="minorEastAsia" w:hAnsiTheme="minorEastAsia"/>
          <w:b w:val="0"/>
          <w:sz w:val="24"/>
          <w:szCs w:val="24"/>
        </w:rPr>
        <w:t>5.3  焊丝验收</w:t>
      </w:r>
      <w:r>
        <w:rPr>
          <w:b w:val="0"/>
          <w:sz w:val="24"/>
          <w:szCs w:val="24"/>
        </w:rPr>
        <w:tab/>
      </w:r>
      <w:r>
        <w:rPr>
          <w:b w:val="0"/>
          <w:sz w:val="24"/>
          <w:szCs w:val="24"/>
        </w:rPr>
        <w:fldChar w:fldCharType="begin"/>
      </w:r>
      <w:r>
        <w:rPr>
          <w:b w:val="0"/>
          <w:sz w:val="24"/>
          <w:szCs w:val="24"/>
        </w:rPr>
        <w:instrText xml:space="preserve"> PAGEREF _Toc131325329 \h </w:instrText>
      </w:r>
      <w:r>
        <w:rPr>
          <w:b w:val="0"/>
          <w:sz w:val="24"/>
          <w:szCs w:val="24"/>
        </w:rPr>
        <w:fldChar w:fldCharType="separate"/>
      </w:r>
      <w:r>
        <w:rPr>
          <w:b w:val="0"/>
          <w:sz w:val="24"/>
          <w:szCs w:val="24"/>
        </w:rPr>
        <w:t>7</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"_Toc131325330" </w:instrText>
      </w:r>
      <w:r>
        <w:fldChar w:fldCharType="separate"/>
      </w:r>
      <w:r>
        <w:rPr>
          <w:rStyle w:val="37"/>
          <w:rFonts w:asciiTheme="minorEastAsia" w:hAnsiTheme="minorEastAsia"/>
          <w:b w:val="0"/>
          <w:sz w:val="24"/>
          <w:szCs w:val="24"/>
        </w:rPr>
        <w:t>5.4  药芯焊丝储存、保管</w:t>
      </w:r>
      <w:r>
        <w:rPr>
          <w:b w:val="0"/>
          <w:sz w:val="24"/>
          <w:szCs w:val="24"/>
        </w:rPr>
        <w:tab/>
      </w:r>
      <w:r>
        <w:rPr>
          <w:b w:val="0"/>
          <w:sz w:val="24"/>
          <w:szCs w:val="24"/>
        </w:rPr>
        <w:fldChar w:fldCharType="begin"/>
      </w:r>
      <w:r>
        <w:rPr>
          <w:b w:val="0"/>
          <w:sz w:val="24"/>
          <w:szCs w:val="24"/>
        </w:rPr>
        <w:instrText xml:space="preserve"> PAGEREF _Toc131325330 \h </w:instrText>
      </w:r>
      <w:r>
        <w:rPr>
          <w:b w:val="0"/>
          <w:sz w:val="24"/>
          <w:szCs w:val="24"/>
        </w:rPr>
        <w:fldChar w:fldCharType="separate"/>
      </w:r>
      <w:r>
        <w:rPr>
          <w:b w:val="0"/>
          <w:sz w:val="24"/>
          <w:szCs w:val="24"/>
        </w:rPr>
        <w:t>7</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"_Toc131325331" </w:instrText>
      </w:r>
      <w:r>
        <w:fldChar w:fldCharType="separate"/>
      </w:r>
      <w:r>
        <w:rPr>
          <w:rStyle w:val="37"/>
          <w:rFonts w:asciiTheme="minorEastAsia" w:hAnsiTheme="minorEastAsia"/>
          <w:b w:val="0"/>
          <w:sz w:val="24"/>
          <w:szCs w:val="24"/>
        </w:rPr>
        <w:t>5.5  焊丝使用过程管理</w:t>
      </w:r>
      <w:r>
        <w:rPr>
          <w:b w:val="0"/>
          <w:sz w:val="24"/>
          <w:szCs w:val="24"/>
        </w:rPr>
        <w:tab/>
      </w:r>
      <w:r>
        <w:rPr>
          <w:b w:val="0"/>
          <w:sz w:val="24"/>
          <w:szCs w:val="24"/>
        </w:rPr>
        <w:fldChar w:fldCharType="begin"/>
      </w:r>
      <w:r>
        <w:rPr>
          <w:b w:val="0"/>
          <w:sz w:val="24"/>
          <w:szCs w:val="24"/>
        </w:rPr>
        <w:instrText xml:space="preserve"> PAGEREF _Toc131325331 \h </w:instrText>
      </w:r>
      <w:r>
        <w:rPr>
          <w:b w:val="0"/>
          <w:sz w:val="24"/>
          <w:szCs w:val="24"/>
        </w:rPr>
        <w:fldChar w:fldCharType="separate"/>
      </w:r>
      <w:r>
        <w:rPr>
          <w:b w:val="0"/>
          <w:sz w:val="24"/>
          <w:szCs w:val="24"/>
        </w:rPr>
        <w:t>7</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"_Toc131325332" </w:instrText>
      </w:r>
      <w:r>
        <w:fldChar w:fldCharType="separate"/>
      </w:r>
      <w:r>
        <w:rPr>
          <w:rStyle w:val="37"/>
          <w:rFonts w:asciiTheme="minorEastAsia" w:hAnsiTheme="minorEastAsia"/>
          <w:b w:val="0"/>
          <w:sz w:val="24"/>
          <w:szCs w:val="24"/>
        </w:rPr>
        <w:t>6  焊接保护气体</w:t>
      </w:r>
      <w:r>
        <w:rPr>
          <w:b w:val="0"/>
          <w:sz w:val="24"/>
          <w:szCs w:val="24"/>
        </w:rPr>
        <w:tab/>
      </w:r>
      <w:r>
        <w:rPr>
          <w:b w:val="0"/>
          <w:sz w:val="24"/>
          <w:szCs w:val="24"/>
        </w:rPr>
        <w:fldChar w:fldCharType="begin"/>
      </w:r>
      <w:r>
        <w:rPr>
          <w:b w:val="0"/>
          <w:sz w:val="24"/>
          <w:szCs w:val="24"/>
        </w:rPr>
        <w:instrText xml:space="preserve"> PAGEREF _Toc131325332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"_Toc131325333" </w:instrText>
      </w:r>
      <w:r>
        <w:fldChar w:fldCharType="separate"/>
      </w:r>
      <w:r>
        <w:rPr>
          <w:rStyle w:val="37"/>
          <w:rFonts w:asciiTheme="minorEastAsia" w:hAnsiTheme="minorEastAsia"/>
          <w:b w:val="0"/>
          <w:sz w:val="24"/>
          <w:szCs w:val="24"/>
        </w:rPr>
        <w:t>7  焊工</w:t>
      </w:r>
      <w:r>
        <w:rPr>
          <w:b w:val="0"/>
          <w:sz w:val="24"/>
          <w:szCs w:val="24"/>
        </w:rPr>
        <w:tab/>
      </w:r>
      <w:r>
        <w:rPr>
          <w:b w:val="0"/>
          <w:sz w:val="24"/>
          <w:szCs w:val="24"/>
        </w:rPr>
        <w:fldChar w:fldCharType="begin"/>
      </w:r>
      <w:r>
        <w:rPr>
          <w:b w:val="0"/>
          <w:sz w:val="24"/>
          <w:szCs w:val="24"/>
        </w:rPr>
        <w:instrText xml:space="preserve"> PAGEREF _Toc131325333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"_Toc131325334" </w:instrText>
      </w:r>
      <w:r>
        <w:fldChar w:fldCharType="separate"/>
      </w:r>
      <w:r>
        <w:rPr>
          <w:rStyle w:val="37"/>
          <w:rFonts w:asciiTheme="minorEastAsia" w:hAnsiTheme="minorEastAsia"/>
          <w:b w:val="0"/>
          <w:sz w:val="24"/>
          <w:szCs w:val="24"/>
        </w:rPr>
        <w:t>8   焊接工艺评定及焊接工艺规程</w:t>
      </w:r>
      <w:r>
        <w:rPr>
          <w:b w:val="0"/>
          <w:sz w:val="24"/>
          <w:szCs w:val="24"/>
        </w:rPr>
        <w:tab/>
      </w:r>
      <w:r>
        <w:rPr>
          <w:b w:val="0"/>
          <w:sz w:val="24"/>
          <w:szCs w:val="24"/>
        </w:rPr>
        <w:fldChar w:fldCharType="begin"/>
      </w:r>
      <w:r>
        <w:rPr>
          <w:b w:val="0"/>
          <w:sz w:val="24"/>
          <w:szCs w:val="24"/>
        </w:rPr>
        <w:instrText xml:space="preserve"> PAGEREF _Toc131325334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"_Toc131325335" </w:instrText>
      </w:r>
      <w:r>
        <w:fldChar w:fldCharType="separate"/>
      </w:r>
      <w:r>
        <w:rPr>
          <w:rStyle w:val="37"/>
          <w:rFonts w:asciiTheme="minorEastAsia" w:hAnsiTheme="minorEastAsia"/>
          <w:b w:val="0"/>
          <w:sz w:val="24"/>
          <w:szCs w:val="24"/>
        </w:rPr>
        <w:t>8.1  焊接工艺评定</w:t>
      </w:r>
      <w:r>
        <w:rPr>
          <w:b w:val="0"/>
          <w:sz w:val="24"/>
          <w:szCs w:val="24"/>
        </w:rPr>
        <w:tab/>
      </w:r>
      <w:r>
        <w:rPr>
          <w:b w:val="0"/>
          <w:sz w:val="24"/>
          <w:szCs w:val="24"/>
        </w:rPr>
        <w:fldChar w:fldCharType="begin"/>
      </w:r>
      <w:r>
        <w:rPr>
          <w:b w:val="0"/>
          <w:sz w:val="24"/>
          <w:szCs w:val="24"/>
        </w:rPr>
        <w:instrText xml:space="preserve"> PAGEREF _Toc131325335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"_Toc131325336" </w:instrText>
      </w:r>
      <w:r>
        <w:fldChar w:fldCharType="separate"/>
      </w:r>
      <w:r>
        <w:rPr>
          <w:rStyle w:val="37"/>
          <w:rFonts w:asciiTheme="minorEastAsia" w:hAnsiTheme="minorEastAsia"/>
          <w:b w:val="0"/>
          <w:sz w:val="24"/>
          <w:szCs w:val="24"/>
        </w:rPr>
        <w:t>8.2  焊接工艺规程</w:t>
      </w:r>
      <w:r>
        <w:rPr>
          <w:b w:val="0"/>
          <w:sz w:val="24"/>
          <w:szCs w:val="24"/>
        </w:rPr>
        <w:tab/>
      </w:r>
      <w:r>
        <w:rPr>
          <w:b w:val="0"/>
          <w:sz w:val="24"/>
          <w:szCs w:val="24"/>
        </w:rPr>
        <w:fldChar w:fldCharType="begin"/>
      </w:r>
      <w:r>
        <w:rPr>
          <w:b w:val="0"/>
          <w:sz w:val="24"/>
          <w:szCs w:val="24"/>
        </w:rPr>
        <w:instrText xml:space="preserve"> PAGEREF _Toc131325336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"_Toc131325337" </w:instrText>
      </w:r>
      <w:r>
        <w:fldChar w:fldCharType="separate"/>
      </w:r>
      <w:r>
        <w:rPr>
          <w:rStyle w:val="37"/>
          <w:rFonts w:asciiTheme="minorEastAsia" w:hAnsiTheme="minorEastAsia"/>
          <w:b w:val="0"/>
          <w:sz w:val="24"/>
          <w:szCs w:val="24"/>
        </w:rPr>
        <w:t>9  焊接环境</w:t>
      </w:r>
      <w:r>
        <w:rPr>
          <w:b w:val="0"/>
          <w:sz w:val="24"/>
          <w:szCs w:val="24"/>
        </w:rPr>
        <w:tab/>
      </w:r>
      <w:r>
        <w:rPr>
          <w:b w:val="0"/>
          <w:sz w:val="24"/>
          <w:szCs w:val="24"/>
        </w:rPr>
        <w:fldChar w:fldCharType="begin"/>
      </w:r>
      <w:r>
        <w:rPr>
          <w:b w:val="0"/>
          <w:sz w:val="24"/>
          <w:szCs w:val="24"/>
        </w:rPr>
        <w:instrText xml:space="preserve"> PAGEREF _Toc131325337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"_Toc131325338" </w:instrText>
      </w:r>
      <w:r>
        <w:fldChar w:fldCharType="separate"/>
      </w:r>
      <w:r>
        <w:rPr>
          <w:rStyle w:val="37"/>
          <w:rFonts w:asciiTheme="minorEastAsia" w:hAnsiTheme="minorEastAsia"/>
          <w:b w:val="0"/>
          <w:sz w:val="24"/>
          <w:szCs w:val="24"/>
        </w:rPr>
        <w:t>10  焊接施工</w:t>
      </w:r>
      <w:r>
        <w:rPr>
          <w:b w:val="0"/>
          <w:sz w:val="24"/>
          <w:szCs w:val="24"/>
        </w:rPr>
        <w:tab/>
      </w:r>
      <w:r>
        <w:rPr>
          <w:b w:val="0"/>
          <w:sz w:val="24"/>
          <w:szCs w:val="24"/>
        </w:rPr>
        <w:fldChar w:fldCharType="begin"/>
      </w:r>
      <w:r>
        <w:rPr>
          <w:b w:val="0"/>
          <w:sz w:val="24"/>
          <w:szCs w:val="24"/>
        </w:rPr>
        <w:instrText xml:space="preserve"> PAGEREF _Toc131325338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"_Toc131325339" </w:instrText>
      </w:r>
      <w:r>
        <w:fldChar w:fldCharType="separate"/>
      </w:r>
      <w:r>
        <w:rPr>
          <w:rStyle w:val="37"/>
          <w:rFonts w:asciiTheme="minorEastAsia" w:hAnsiTheme="minorEastAsia"/>
          <w:b w:val="0"/>
          <w:sz w:val="24"/>
          <w:szCs w:val="24"/>
        </w:rPr>
        <w:t>10.1  焊接设备</w:t>
      </w:r>
      <w:r>
        <w:rPr>
          <w:b w:val="0"/>
          <w:sz w:val="24"/>
          <w:szCs w:val="24"/>
        </w:rPr>
        <w:tab/>
      </w:r>
      <w:r>
        <w:rPr>
          <w:b w:val="0"/>
          <w:sz w:val="24"/>
          <w:szCs w:val="24"/>
        </w:rPr>
        <w:fldChar w:fldCharType="begin"/>
      </w:r>
      <w:r>
        <w:rPr>
          <w:b w:val="0"/>
          <w:sz w:val="24"/>
          <w:szCs w:val="24"/>
        </w:rPr>
        <w:instrText xml:space="preserve"> PAGEREF _Toc131325339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"_Toc131325340" </w:instrText>
      </w:r>
      <w:r>
        <w:fldChar w:fldCharType="separate"/>
      </w:r>
      <w:r>
        <w:rPr>
          <w:rStyle w:val="37"/>
          <w:rFonts w:asciiTheme="minorEastAsia" w:hAnsiTheme="minorEastAsia"/>
          <w:b w:val="0"/>
          <w:sz w:val="24"/>
          <w:szCs w:val="24"/>
        </w:rPr>
        <w:t>10.2  坡口</w:t>
      </w:r>
      <w:r>
        <w:rPr>
          <w:b w:val="0"/>
          <w:sz w:val="24"/>
          <w:szCs w:val="24"/>
        </w:rPr>
        <w:tab/>
      </w:r>
      <w:r>
        <w:rPr>
          <w:b w:val="0"/>
          <w:sz w:val="24"/>
          <w:szCs w:val="24"/>
        </w:rPr>
        <w:fldChar w:fldCharType="begin"/>
      </w:r>
      <w:r>
        <w:rPr>
          <w:b w:val="0"/>
          <w:sz w:val="24"/>
          <w:szCs w:val="24"/>
        </w:rPr>
        <w:instrText xml:space="preserve"> PAGEREF _Toc131325340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"_Toc131325341" </w:instrText>
      </w:r>
      <w:r>
        <w:fldChar w:fldCharType="separate"/>
      </w:r>
      <w:r>
        <w:rPr>
          <w:rStyle w:val="37"/>
          <w:rFonts w:asciiTheme="minorEastAsia" w:hAnsiTheme="minorEastAsia"/>
          <w:b w:val="0"/>
          <w:sz w:val="24"/>
          <w:szCs w:val="24"/>
        </w:rPr>
        <w:t>10.3  清理及表面准备</w:t>
      </w:r>
      <w:r>
        <w:rPr>
          <w:b w:val="0"/>
          <w:sz w:val="24"/>
          <w:szCs w:val="24"/>
        </w:rPr>
        <w:tab/>
      </w:r>
      <w:r>
        <w:rPr>
          <w:b w:val="0"/>
          <w:sz w:val="24"/>
          <w:szCs w:val="24"/>
        </w:rPr>
        <w:fldChar w:fldCharType="begin"/>
      </w:r>
      <w:r>
        <w:rPr>
          <w:b w:val="0"/>
          <w:sz w:val="24"/>
          <w:szCs w:val="24"/>
        </w:rPr>
        <w:instrText xml:space="preserve"> PAGEREF _Toc131325341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"_Toc131325342" </w:instrText>
      </w:r>
      <w:r>
        <w:fldChar w:fldCharType="separate"/>
      </w:r>
      <w:r>
        <w:rPr>
          <w:rStyle w:val="37"/>
          <w:rFonts w:asciiTheme="minorEastAsia" w:hAnsiTheme="minorEastAsia"/>
          <w:b w:val="0"/>
          <w:sz w:val="24"/>
          <w:szCs w:val="24"/>
        </w:rPr>
        <w:t>10.4  组对及定位焊接</w:t>
      </w:r>
      <w:r>
        <w:rPr>
          <w:b w:val="0"/>
          <w:sz w:val="24"/>
          <w:szCs w:val="24"/>
        </w:rPr>
        <w:tab/>
      </w:r>
      <w:r>
        <w:rPr>
          <w:b w:val="0"/>
          <w:sz w:val="24"/>
          <w:szCs w:val="24"/>
        </w:rPr>
        <w:fldChar w:fldCharType="begin"/>
      </w:r>
      <w:r>
        <w:rPr>
          <w:b w:val="0"/>
          <w:sz w:val="24"/>
          <w:szCs w:val="24"/>
        </w:rPr>
        <w:instrText xml:space="preserve"> PAGEREF _Toc131325342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"_Toc131325343" </w:instrText>
      </w:r>
      <w:r>
        <w:fldChar w:fldCharType="separate"/>
      </w:r>
      <w:r>
        <w:rPr>
          <w:rStyle w:val="37"/>
          <w:rFonts w:asciiTheme="minorEastAsia" w:hAnsiTheme="minorEastAsia"/>
          <w:b w:val="0"/>
          <w:sz w:val="24"/>
          <w:szCs w:val="24"/>
        </w:rPr>
        <w:t>10.5  焊前预热</w:t>
      </w:r>
      <w:r>
        <w:rPr>
          <w:b w:val="0"/>
          <w:sz w:val="24"/>
          <w:szCs w:val="24"/>
        </w:rPr>
        <w:tab/>
      </w:r>
      <w:r>
        <w:rPr>
          <w:b w:val="0"/>
          <w:sz w:val="24"/>
          <w:szCs w:val="24"/>
        </w:rPr>
        <w:fldChar w:fldCharType="begin"/>
      </w:r>
      <w:r>
        <w:rPr>
          <w:b w:val="0"/>
          <w:sz w:val="24"/>
          <w:szCs w:val="24"/>
        </w:rPr>
        <w:instrText xml:space="preserve"> PAGEREF _Toc131325343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"_Toc131325344" </w:instrText>
      </w:r>
      <w:r>
        <w:fldChar w:fldCharType="separate"/>
      </w:r>
      <w:r>
        <w:rPr>
          <w:rStyle w:val="37"/>
          <w:rFonts w:asciiTheme="minorEastAsia" w:hAnsiTheme="minorEastAsia"/>
          <w:b w:val="0"/>
          <w:sz w:val="24"/>
          <w:szCs w:val="24"/>
        </w:rPr>
        <w:t>10.6 焊接工艺</w:t>
      </w:r>
      <w:r>
        <w:rPr>
          <w:b w:val="0"/>
          <w:sz w:val="24"/>
          <w:szCs w:val="24"/>
        </w:rPr>
        <w:tab/>
      </w:r>
      <w:r>
        <w:rPr>
          <w:b w:val="0"/>
          <w:sz w:val="24"/>
          <w:szCs w:val="24"/>
        </w:rPr>
        <w:fldChar w:fldCharType="begin"/>
      </w:r>
      <w:r>
        <w:rPr>
          <w:b w:val="0"/>
          <w:sz w:val="24"/>
          <w:szCs w:val="24"/>
        </w:rPr>
        <w:instrText xml:space="preserve"> PAGEREF _Toc131325344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"_Toc131325345" </w:instrText>
      </w:r>
      <w:r>
        <w:fldChar w:fldCharType="separate"/>
      </w:r>
      <w:r>
        <w:rPr>
          <w:rStyle w:val="37"/>
          <w:rFonts w:asciiTheme="minorEastAsia" w:hAnsiTheme="minorEastAsia"/>
          <w:b w:val="0"/>
          <w:sz w:val="24"/>
          <w:szCs w:val="24"/>
        </w:rPr>
        <w:t>11 焊后热处理</w:t>
      </w:r>
      <w:r>
        <w:rPr>
          <w:b w:val="0"/>
          <w:sz w:val="24"/>
          <w:szCs w:val="24"/>
        </w:rPr>
        <w:tab/>
      </w:r>
      <w:r>
        <w:rPr>
          <w:b w:val="0"/>
          <w:sz w:val="24"/>
          <w:szCs w:val="24"/>
        </w:rPr>
        <w:fldChar w:fldCharType="begin"/>
      </w:r>
      <w:r>
        <w:rPr>
          <w:b w:val="0"/>
          <w:sz w:val="24"/>
          <w:szCs w:val="24"/>
        </w:rPr>
        <w:instrText xml:space="preserve"> PAGEREF _Toc131325345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"_Toc131325346" </w:instrText>
      </w:r>
      <w:r>
        <w:fldChar w:fldCharType="separate"/>
      </w:r>
      <w:r>
        <w:rPr>
          <w:rStyle w:val="37"/>
          <w:rFonts w:asciiTheme="minorEastAsia" w:hAnsiTheme="minorEastAsia"/>
          <w:b w:val="0"/>
          <w:sz w:val="24"/>
          <w:szCs w:val="24"/>
        </w:rPr>
        <w:t>12 焊接质量检测</w:t>
      </w:r>
      <w:r>
        <w:rPr>
          <w:b w:val="0"/>
          <w:sz w:val="24"/>
          <w:szCs w:val="24"/>
        </w:rPr>
        <w:tab/>
      </w:r>
      <w:r>
        <w:rPr>
          <w:b w:val="0"/>
          <w:sz w:val="24"/>
          <w:szCs w:val="24"/>
        </w:rPr>
        <w:fldChar w:fldCharType="begin"/>
      </w:r>
      <w:r>
        <w:rPr>
          <w:b w:val="0"/>
          <w:sz w:val="24"/>
          <w:szCs w:val="24"/>
        </w:rPr>
        <w:instrText xml:space="preserve"> PAGEREF _Toc131325346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"_Toc131325347" </w:instrText>
      </w:r>
      <w:r>
        <w:fldChar w:fldCharType="separate"/>
      </w:r>
      <w:r>
        <w:rPr>
          <w:rStyle w:val="37"/>
          <w:rFonts w:asciiTheme="minorEastAsia" w:hAnsiTheme="minorEastAsia"/>
          <w:b w:val="0"/>
          <w:sz w:val="24"/>
          <w:szCs w:val="24"/>
        </w:rPr>
        <w:t>12.1  外观检查</w:t>
      </w:r>
      <w:r>
        <w:rPr>
          <w:b w:val="0"/>
          <w:sz w:val="24"/>
          <w:szCs w:val="24"/>
        </w:rPr>
        <w:tab/>
      </w:r>
      <w:r>
        <w:rPr>
          <w:b w:val="0"/>
          <w:sz w:val="24"/>
          <w:szCs w:val="24"/>
        </w:rPr>
        <w:fldChar w:fldCharType="begin"/>
      </w:r>
      <w:r>
        <w:rPr>
          <w:b w:val="0"/>
          <w:sz w:val="24"/>
          <w:szCs w:val="24"/>
        </w:rPr>
        <w:instrText xml:space="preserve"> PAGEREF _Toc131325347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"_Toc131325348" </w:instrText>
      </w:r>
      <w:r>
        <w:fldChar w:fldCharType="separate"/>
      </w:r>
      <w:r>
        <w:rPr>
          <w:rStyle w:val="37"/>
          <w:rFonts w:asciiTheme="minorEastAsia" w:hAnsiTheme="minorEastAsia"/>
          <w:b w:val="0"/>
          <w:sz w:val="24"/>
          <w:szCs w:val="24"/>
        </w:rPr>
        <w:t>13.2  无损检测</w:t>
      </w:r>
      <w:r>
        <w:rPr>
          <w:b w:val="0"/>
          <w:sz w:val="24"/>
          <w:szCs w:val="24"/>
        </w:rPr>
        <w:tab/>
      </w:r>
      <w:r>
        <w:rPr>
          <w:b w:val="0"/>
          <w:sz w:val="24"/>
          <w:szCs w:val="24"/>
        </w:rPr>
        <w:fldChar w:fldCharType="begin"/>
      </w:r>
      <w:r>
        <w:rPr>
          <w:b w:val="0"/>
          <w:sz w:val="24"/>
          <w:szCs w:val="24"/>
        </w:rPr>
        <w:instrText xml:space="preserve"> PAGEREF _Toc131325348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"_Toc131325349" </w:instrText>
      </w:r>
      <w:r>
        <w:fldChar w:fldCharType="separate"/>
      </w:r>
      <w:r>
        <w:rPr>
          <w:rStyle w:val="37"/>
          <w:b w:val="0"/>
          <w:sz w:val="24"/>
          <w:szCs w:val="24"/>
        </w:rPr>
        <w:t>附录A：常用非合金钢及细晶粒钢药芯焊丝化学成分和力学性能</w:t>
      </w:r>
      <w:r>
        <w:rPr>
          <w:b w:val="0"/>
          <w:sz w:val="24"/>
          <w:szCs w:val="24"/>
        </w:rPr>
        <w:tab/>
      </w:r>
      <w:r>
        <w:rPr>
          <w:b w:val="0"/>
          <w:sz w:val="24"/>
          <w:szCs w:val="24"/>
        </w:rPr>
        <w:fldChar w:fldCharType="begin"/>
      </w:r>
      <w:r>
        <w:rPr>
          <w:b w:val="0"/>
          <w:sz w:val="24"/>
          <w:szCs w:val="24"/>
        </w:rPr>
        <w:instrText xml:space="preserve"> PAGEREF _Toc131325349 \h </w:instrText>
      </w:r>
      <w:r>
        <w:rPr>
          <w:b w:val="0"/>
          <w:sz w:val="24"/>
          <w:szCs w:val="24"/>
        </w:rPr>
        <w:fldChar w:fldCharType="separate"/>
      </w:r>
      <w:r>
        <w:rPr>
          <w:b w:val="0"/>
          <w:sz w:val="24"/>
          <w:szCs w:val="24"/>
        </w:rPr>
        <w:t>12</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"_Toc131325350" </w:instrText>
      </w:r>
      <w:r>
        <w:fldChar w:fldCharType="separate"/>
      </w:r>
      <w:r>
        <w:rPr>
          <w:rStyle w:val="37"/>
          <w:b w:val="0"/>
          <w:sz w:val="24"/>
          <w:szCs w:val="24"/>
        </w:rPr>
        <w:t>表 A.1非合金钢及细晶粒钢药芯焊丝熔敷金属化学成分</w:t>
      </w:r>
      <w:r>
        <w:rPr>
          <w:b w:val="0"/>
          <w:sz w:val="24"/>
          <w:szCs w:val="24"/>
        </w:rPr>
        <w:tab/>
      </w:r>
      <w:r>
        <w:rPr>
          <w:b w:val="0"/>
          <w:sz w:val="24"/>
          <w:szCs w:val="24"/>
        </w:rPr>
        <w:fldChar w:fldCharType="begin"/>
      </w:r>
      <w:r>
        <w:rPr>
          <w:b w:val="0"/>
          <w:sz w:val="24"/>
          <w:szCs w:val="24"/>
        </w:rPr>
        <w:instrText xml:space="preserve"> PAGEREF _Toc131325350 \h </w:instrText>
      </w:r>
      <w:r>
        <w:rPr>
          <w:b w:val="0"/>
          <w:sz w:val="24"/>
          <w:szCs w:val="24"/>
        </w:rPr>
        <w:fldChar w:fldCharType="separate"/>
      </w:r>
      <w:r>
        <w:rPr>
          <w:b w:val="0"/>
          <w:sz w:val="24"/>
          <w:szCs w:val="24"/>
        </w:rPr>
        <w:t>12</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"_Toc131325351" </w:instrText>
      </w:r>
      <w:r>
        <w:fldChar w:fldCharType="separate"/>
      </w:r>
      <w:r>
        <w:rPr>
          <w:rStyle w:val="37"/>
          <w:b w:val="0"/>
          <w:sz w:val="24"/>
          <w:szCs w:val="24"/>
        </w:rPr>
        <w:t>表 A.2 非合金钢及细晶粒钢药芯焊丝多道焊熔敷金属抗拉强度代号</w:t>
      </w:r>
      <w:r>
        <w:rPr>
          <w:b w:val="0"/>
          <w:sz w:val="24"/>
          <w:szCs w:val="24"/>
        </w:rPr>
        <w:tab/>
      </w:r>
      <w:r>
        <w:rPr>
          <w:b w:val="0"/>
          <w:sz w:val="24"/>
          <w:szCs w:val="24"/>
        </w:rPr>
        <w:fldChar w:fldCharType="begin"/>
      </w:r>
      <w:r>
        <w:rPr>
          <w:b w:val="0"/>
          <w:sz w:val="24"/>
          <w:szCs w:val="24"/>
        </w:rPr>
        <w:instrText xml:space="preserve"> PAGEREF _Toc131325351 \h </w:instrText>
      </w:r>
      <w:r>
        <w:rPr>
          <w:b w:val="0"/>
          <w:sz w:val="24"/>
          <w:szCs w:val="24"/>
        </w:rPr>
        <w:fldChar w:fldCharType="separate"/>
      </w:r>
      <w:r>
        <w:rPr>
          <w:b w:val="0"/>
          <w:sz w:val="24"/>
          <w:szCs w:val="24"/>
        </w:rPr>
        <w:t>12</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"_Toc131325352" </w:instrText>
      </w:r>
      <w:r>
        <w:fldChar w:fldCharType="separate"/>
      </w:r>
      <w:r>
        <w:rPr>
          <w:rStyle w:val="37"/>
          <w:b w:val="0"/>
          <w:sz w:val="24"/>
          <w:szCs w:val="24"/>
        </w:rPr>
        <w:t>表 A.3 非合金钢及细晶粒钢药芯焊丝单道焊熔敷金属抗拉强度代号</w:t>
      </w:r>
      <w:r>
        <w:rPr>
          <w:b w:val="0"/>
          <w:sz w:val="24"/>
          <w:szCs w:val="24"/>
        </w:rPr>
        <w:tab/>
      </w:r>
      <w:r>
        <w:rPr>
          <w:b w:val="0"/>
          <w:sz w:val="24"/>
          <w:szCs w:val="24"/>
        </w:rPr>
        <w:fldChar w:fldCharType="begin"/>
      </w:r>
      <w:r>
        <w:rPr>
          <w:b w:val="0"/>
          <w:sz w:val="24"/>
          <w:szCs w:val="24"/>
        </w:rPr>
        <w:instrText xml:space="preserve"> PAGEREF _Toc131325352 \h </w:instrText>
      </w:r>
      <w:r>
        <w:rPr>
          <w:b w:val="0"/>
          <w:sz w:val="24"/>
          <w:szCs w:val="24"/>
        </w:rPr>
        <w:fldChar w:fldCharType="separate"/>
      </w:r>
      <w:r>
        <w:rPr>
          <w:b w:val="0"/>
          <w:sz w:val="24"/>
          <w:szCs w:val="24"/>
        </w:rPr>
        <w:t>13</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"_Toc131325353" </w:instrText>
      </w:r>
      <w:r>
        <w:fldChar w:fldCharType="separate"/>
      </w:r>
      <w:r>
        <w:rPr>
          <w:rStyle w:val="37"/>
          <w:b w:val="0"/>
          <w:sz w:val="24"/>
          <w:szCs w:val="24"/>
        </w:rPr>
        <w:t>附录B 奥氏体不锈钢药芯焊丝熔敷金属化学成分见B.1～4。</w:t>
      </w:r>
      <w:r>
        <w:rPr>
          <w:b w:val="0"/>
          <w:sz w:val="24"/>
          <w:szCs w:val="24"/>
        </w:rPr>
        <w:tab/>
      </w:r>
      <w:r>
        <w:rPr>
          <w:b w:val="0"/>
          <w:sz w:val="24"/>
          <w:szCs w:val="24"/>
        </w:rPr>
        <w:fldChar w:fldCharType="begin"/>
      </w:r>
      <w:r>
        <w:rPr>
          <w:b w:val="0"/>
          <w:sz w:val="24"/>
          <w:szCs w:val="24"/>
        </w:rPr>
        <w:instrText xml:space="preserve"> PAGEREF _Toc131325353 \h </w:instrText>
      </w:r>
      <w:r>
        <w:rPr>
          <w:b w:val="0"/>
          <w:sz w:val="24"/>
          <w:szCs w:val="24"/>
        </w:rPr>
        <w:fldChar w:fldCharType="separate"/>
      </w:r>
      <w:r>
        <w:rPr>
          <w:b w:val="0"/>
          <w:sz w:val="24"/>
          <w:szCs w:val="24"/>
        </w:rPr>
        <w:t>13</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"_Toc131325354" </w:instrText>
      </w:r>
      <w:r>
        <w:fldChar w:fldCharType="separate"/>
      </w:r>
      <w:r>
        <w:rPr>
          <w:rStyle w:val="37"/>
          <w:b w:val="0"/>
          <w:sz w:val="24"/>
          <w:szCs w:val="24"/>
        </w:rPr>
        <w:t>表 B.1 奥氏体不锈钢药芯焊丝气体保护非金属粉型药芯焊丝熔敷金属化学成分</w:t>
      </w:r>
      <w:r>
        <w:rPr>
          <w:b w:val="0"/>
          <w:sz w:val="24"/>
          <w:szCs w:val="24"/>
        </w:rPr>
        <w:tab/>
      </w:r>
      <w:r>
        <w:rPr>
          <w:b w:val="0"/>
          <w:sz w:val="24"/>
          <w:szCs w:val="24"/>
        </w:rPr>
        <w:fldChar w:fldCharType="begin"/>
      </w:r>
      <w:r>
        <w:rPr>
          <w:b w:val="0"/>
          <w:sz w:val="24"/>
          <w:szCs w:val="24"/>
        </w:rPr>
        <w:instrText xml:space="preserve"> PAGEREF _Toc131325354 \h </w:instrText>
      </w:r>
      <w:r>
        <w:rPr>
          <w:b w:val="0"/>
          <w:sz w:val="24"/>
          <w:szCs w:val="24"/>
        </w:rPr>
        <w:fldChar w:fldCharType="separate"/>
      </w:r>
      <w:r>
        <w:rPr>
          <w:b w:val="0"/>
          <w:sz w:val="24"/>
          <w:szCs w:val="24"/>
        </w:rPr>
        <w:t>13</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"_Toc131325355" </w:instrText>
      </w:r>
      <w:r>
        <w:fldChar w:fldCharType="separate"/>
      </w:r>
      <w:r>
        <w:rPr>
          <w:rStyle w:val="37"/>
          <w:b w:val="0"/>
          <w:sz w:val="24"/>
          <w:szCs w:val="24"/>
        </w:rPr>
        <w:t>表 B.2 奥氏体不锈钢药芯焊丝气体保护金属粉型药芯焊丝熔敷金属化学成分</w:t>
      </w:r>
      <w:r>
        <w:rPr>
          <w:b w:val="0"/>
          <w:sz w:val="24"/>
          <w:szCs w:val="24"/>
        </w:rPr>
        <w:tab/>
      </w:r>
      <w:r>
        <w:rPr>
          <w:b w:val="0"/>
          <w:sz w:val="24"/>
          <w:szCs w:val="24"/>
        </w:rPr>
        <w:fldChar w:fldCharType="begin"/>
      </w:r>
      <w:r>
        <w:rPr>
          <w:b w:val="0"/>
          <w:sz w:val="24"/>
          <w:szCs w:val="24"/>
        </w:rPr>
        <w:instrText xml:space="preserve"> PAGEREF _Toc131325355 \h </w:instrText>
      </w:r>
      <w:r>
        <w:rPr>
          <w:b w:val="0"/>
          <w:sz w:val="24"/>
          <w:szCs w:val="24"/>
        </w:rPr>
        <w:fldChar w:fldCharType="separate"/>
      </w:r>
      <w:r>
        <w:rPr>
          <w:b w:val="0"/>
          <w:sz w:val="24"/>
          <w:szCs w:val="24"/>
        </w:rPr>
        <w:t>15</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"_Toc131325356" </w:instrText>
      </w:r>
      <w:r>
        <w:fldChar w:fldCharType="separate"/>
      </w:r>
      <w:r>
        <w:rPr>
          <w:rStyle w:val="37"/>
          <w:b w:val="0"/>
          <w:sz w:val="24"/>
          <w:szCs w:val="24"/>
        </w:rPr>
        <w:t>表 B.3 奥氏体不锈钢药芯焊丝钨极惰性气体保护焊用药芯填充丝熔敷金属化学成分</w:t>
      </w:r>
      <w:r>
        <w:rPr>
          <w:b w:val="0"/>
          <w:sz w:val="24"/>
          <w:szCs w:val="24"/>
        </w:rPr>
        <w:tab/>
      </w:r>
      <w:r>
        <w:rPr>
          <w:b w:val="0"/>
          <w:sz w:val="24"/>
          <w:szCs w:val="24"/>
        </w:rPr>
        <w:fldChar w:fldCharType="begin"/>
      </w:r>
      <w:r>
        <w:rPr>
          <w:b w:val="0"/>
          <w:sz w:val="24"/>
          <w:szCs w:val="24"/>
        </w:rPr>
        <w:instrText xml:space="preserve"> PAGEREF _Toc131325356 \h </w:instrText>
      </w:r>
      <w:r>
        <w:rPr>
          <w:b w:val="0"/>
          <w:sz w:val="24"/>
          <w:szCs w:val="24"/>
        </w:rPr>
        <w:fldChar w:fldCharType="separate"/>
      </w:r>
      <w:r>
        <w:rPr>
          <w:b w:val="0"/>
          <w:sz w:val="24"/>
          <w:szCs w:val="24"/>
        </w:rPr>
        <w:t>16</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"_Toc131325357" </w:instrText>
      </w:r>
      <w:r>
        <w:fldChar w:fldCharType="separate"/>
      </w:r>
      <w:r>
        <w:rPr>
          <w:rStyle w:val="37"/>
          <w:b w:val="0"/>
          <w:sz w:val="24"/>
          <w:szCs w:val="24"/>
        </w:rPr>
        <w:t>表 B.4 奥氏体不锈钢药芯焊丝熔敷金属力学性能</w:t>
      </w:r>
      <w:r>
        <w:rPr>
          <w:b w:val="0"/>
          <w:sz w:val="24"/>
          <w:szCs w:val="24"/>
        </w:rPr>
        <w:tab/>
      </w:r>
      <w:r>
        <w:rPr>
          <w:b w:val="0"/>
          <w:sz w:val="24"/>
          <w:szCs w:val="24"/>
        </w:rPr>
        <w:fldChar w:fldCharType="begin"/>
      </w:r>
      <w:r>
        <w:rPr>
          <w:b w:val="0"/>
          <w:sz w:val="24"/>
          <w:szCs w:val="24"/>
        </w:rPr>
        <w:instrText xml:space="preserve"> PAGEREF _Toc131325357 \h </w:instrText>
      </w:r>
      <w:r>
        <w:rPr>
          <w:b w:val="0"/>
          <w:sz w:val="24"/>
          <w:szCs w:val="24"/>
        </w:rPr>
        <w:fldChar w:fldCharType="separate"/>
      </w:r>
      <w:r>
        <w:rPr>
          <w:b w:val="0"/>
          <w:sz w:val="24"/>
          <w:szCs w:val="24"/>
        </w:rPr>
        <w:t>16</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"_Toc131325358" </w:instrText>
      </w:r>
      <w:r>
        <w:fldChar w:fldCharType="separate"/>
      </w:r>
      <w:r>
        <w:rPr>
          <w:rStyle w:val="37"/>
          <w:b w:val="0"/>
          <w:sz w:val="24"/>
          <w:szCs w:val="24"/>
        </w:rPr>
        <w:t>附录C：常用国内与国际药芯焊丝对照表</w:t>
      </w:r>
      <w:r>
        <w:rPr>
          <w:b w:val="0"/>
          <w:sz w:val="24"/>
          <w:szCs w:val="24"/>
        </w:rPr>
        <w:tab/>
      </w:r>
      <w:r>
        <w:rPr>
          <w:b w:val="0"/>
          <w:sz w:val="24"/>
          <w:szCs w:val="24"/>
        </w:rPr>
        <w:fldChar w:fldCharType="begin"/>
      </w:r>
      <w:r>
        <w:rPr>
          <w:b w:val="0"/>
          <w:sz w:val="24"/>
          <w:szCs w:val="24"/>
        </w:rPr>
        <w:instrText xml:space="preserve"> PAGEREF _Toc131325358 \h </w:instrText>
      </w:r>
      <w:r>
        <w:rPr>
          <w:b w:val="0"/>
          <w:sz w:val="24"/>
          <w:szCs w:val="24"/>
        </w:rPr>
        <w:fldChar w:fldCharType="separate"/>
      </w:r>
      <w:r>
        <w:rPr>
          <w:b w:val="0"/>
          <w:sz w:val="24"/>
          <w:szCs w:val="24"/>
        </w:rPr>
        <w:t>17</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"_Toc131325359" </w:instrText>
      </w:r>
      <w:r>
        <w:fldChar w:fldCharType="separate"/>
      </w:r>
      <w:r>
        <w:rPr>
          <w:rStyle w:val="37"/>
          <w:b w:val="0"/>
          <w:sz w:val="24"/>
          <w:szCs w:val="24"/>
        </w:rPr>
        <w:t>附录D：常用钢制管道药芯焊丝选用表</w:t>
      </w:r>
      <w:r>
        <w:rPr>
          <w:b w:val="0"/>
          <w:sz w:val="24"/>
          <w:szCs w:val="24"/>
        </w:rPr>
        <w:tab/>
      </w:r>
      <w:r>
        <w:rPr>
          <w:b w:val="0"/>
          <w:sz w:val="24"/>
          <w:szCs w:val="24"/>
        </w:rPr>
        <w:fldChar w:fldCharType="begin"/>
      </w:r>
      <w:r>
        <w:rPr>
          <w:b w:val="0"/>
          <w:sz w:val="24"/>
          <w:szCs w:val="24"/>
        </w:rPr>
        <w:instrText xml:space="preserve"> PAGEREF _Toc131325359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20"/>
        <w:tabs>
          <w:tab w:val="right" w:leader="dot" w:pos="8302"/>
        </w:tabs>
        <w:spacing w:line="360" w:lineRule="auto"/>
        <w:rPr>
          <w:rFonts w:eastAsiaTheme="minorEastAsia" w:cstheme="minorBidi"/>
          <w:b w:val="0"/>
          <w:bCs w:val="0"/>
          <w:caps w:val="0"/>
          <w:sz w:val="24"/>
          <w:szCs w:val="24"/>
        </w:rPr>
      </w:pPr>
      <w:r>
        <w:fldChar w:fldCharType="begin"/>
      </w:r>
      <w:r>
        <w:instrText xml:space="preserve"> HYPERLINK \l "_Toc131325360" </w:instrText>
      </w:r>
      <w:r>
        <w:fldChar w:fldCharType="separate"/>
      </w:r>
      <w:r>
        <w:rPr>
          <w:rStyle w:val="37"/>
          <w:b w:val="0"/>
          <w:sz w:val="24"/>
          <w:szCs w:val="24"/>
        </w:rPr>
        <w:t>本规范用词说明</w:t>
      </w:r>
      <w:r>
        <w:rPr>
          <w:b w:val="0"/>
          <w:sz w:val="24"/>
          <w:szCs w:val="24"/>
        </w:rPr>
        <w:tab/>
      </w:r>
      <w:r>
        <w:rPr>
          <w:b w:val="0"/>
          <w:sz w:val="24"/>
          <w:szCs w:val="24"/>
        </w:rPr>
        <w:fldChar w:fldCharType="begin"/>
      </w:r>
      <w:r>
        <w:rPr>
          <w:b w:val="0"/>
          <w:sz w:val="24"/>
          <w:szCs w:val="24"/>
        </w:rPr>
        <w:instrText xml:space="preserve"> PAGEREF _Toc131325360 \h </w:instrText>
      </w:r>
      <w:r>
        <w:rPr>
          <w:b w:val="0"/>
          <w:sz w:val="24"/>
          <w:szCs w:val="24"/>
        </w:rPr>
        <w:fldChar w:fldCharType="separate"/>
      </w:r>
      <w:r>
        <w:rPr>
          <w:b w:val="0"/>
          <w:sz w:val="24"/>
          <w:szCs w:val="24"/>
        </w:rPr>
        <w:t>19</w:t>
      </w:r>
      <w:r>
        <w:rPr>
          <w:b w:val="0"/>
          <w:sz w:val="24"/>
          <w:szCs w:val="24"/>
        </w:rPr>
        <w:fldChar w:fldCharType="end"/>
      </w:r>
      <w:r>
        <w:rPr>
          <w:b w:val="0"/>
          <w:sz w:val="24"/>
          <w:szCs w:val="24"/>
        </w:rPr>
        <w:fldChar w:fldCharType="end"/>
      </w:r>
    </w:p>
    <w:p>
      <w:pPr>
        <w:pStyle w:val="24"/>
        <w:spacing w:line="360" w:lineRule="auto"/>
        <w:rPr>
          <w:color w:val="000000"/>
          <w:sz w:val="24"/>
          <w:szCs w:val="24"/>
        </w:rPr>
      </w:pPr>
      <w:r>
        <w:rPr>
          <w:rFonts w:ascii="宋体" w:hAnsi="宋体" w:cs="Times New Roman"/>
          <w:smallCaps w:val="0"/>
          <w:color w:val="000000"/>
          <w:sz w:val="24"/>
          <w:szCs w:val="24"/>
        </w:rPr>
        <w:fldChar w:fldCharType="end"/>
      </w:r>
      <w:r>
        <w:rPr>
          <w:rFonts w:hint="eastAsia" w:ascii="宋体" w:hAnsi="宋体" w:cs="Times New Roman"/>
          <w:smallCaps w:val="0"/>
          <w:color w:val="000000"/>
          <w:sz w:val="24"/>
          <w:szCs w:val="24"/>
        </w:rPr>
        <w:t>增加条文说明</w:t>
      </w:r>
    </w:p>
    <w:p>
      <w:pPr>
        <w:spacing w:line="360" w:lineRule="auto"/>
        <w:ind w:right="-164"/>
        <w:jc w:val="center"/>
        <w:rPr>
          <w:color w:val="000000"/>
          <w:sz w:val="24"/>
        </w:rPr>
      </w:pPr>
    </w:p>
    <w:p>
      <w:pPr>
        <w:spacing w:line="400" w:lineRule="exact"/>
        <w:ind w:right="-164"/>
        <w:rPr>
          <w:b/>
          <w:color w:val="000000"/>
          <w:sz w:val="24"/>
        </w:rPr>
      </w:pPr>
    </w:p>
    <w:p>
      <w:pPr>
        <w:spacing w:line="400" w:lineRule="exact"/>
        <w:rPr>
          <w:rFonts w:ascii="宋体" w:hAnsi="宋体"/>
          <w:b/>
          <w:color w:val="000000"/>
          <w:sz w:val="24"/>
        </w:rPr>
      </w:pPr>
      <w:bookmarkStart w:id="1" w:name="_Toc248210374"/>
      <w:bookmarkStart w:id="2" w:name="_Toc243795499"/>
      <w:bookmarkStart w:id="3" w:name="_Toc243366245"/>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sectPr>
          <w:pgSz w:w="11906" w:h="16838"/>
          <w:pgMar w:top="1440" w:right="1797" w:bottom="1440" w:left="1797" w:header="851" w:footer="992" w:gutter="0"/>
          <w:pgNumType w:fmt="upperRoman" w:start="1"/>
          <w:cols w:space="425" w:num="1"/>
          <w:docGrid w:linePitch="312" w:charSpace="0"/>
        </w:sectPr>
      </w:pPr>
    </w:p>
    <w:p>
      <w:pPr>
        <w:jc w:val="center"/>
        <w:rPr>
          <w:rFonts w:ascii="黑体" w:hAnsi="黑体" w:eastAsia="黑体"/>
          <w:sz w:val="32"/>
          <w:szCs w:val="32"/>
        </w:rPr>
      </w:pPr>
      <w:r>
        <w:rPr>
          <w:rFonts w:hint="eastAsia" w:ascii="黑体" w:hAnsi="黑体" w:eastAsia="黑体"/>
          <w:sz w:val="32"/>
          <w:szCs w:val="32"/>
        </w:rPr>
        <w:t>钢制管道药芯焊丝熔化极气体保护焊技术标准</w:t>
      </w:r>
    </w:p>
    <w:p>
      <w:pPr>
        <w:spacing w:line="276" w:lineRule="auto"/>
        <w:rPr>
          <w:rFonts w:ascii="宋体" w:hAnsi="宋体"/>
          <w:b/>
          <w:color w:val="000000"/>
          <w:sz w:val="24"/>
        </w:rPr>
      </w:pPr>
    </w:p>
    <w:bookmarkEnd w:id="1"/>
    <w:bookmarkEnd w:id="2"/>
    <w:bookmarkEnd w:id="3"/>
    <w:p>
      <w:pPr>
        <w:pStyle w:val="87"/>
        <w:numPr>
          <w:ilvl w:val="0"/>
          <w:numId w:val="3"/>
        </w:numPr>
        <w:rPr>
          <w:rFonts w:ascii="黑体" w:hAnsi="黑体" w:eastAsia="黑体"/>
        </w:rPr>
      </w:pPr>
      <w:bookmarkStart w:id="4" w:name="_Toc131325322"/>
      <w:r>
        <w:rPr>
          <w:rFonts w:hint="eastAsia" w:ascii="黑体" w:hAnsi="黑体" w:eastAsia="黑体"/>
        </w:rPr>
        <w:t>范</w:t>
      </w:r>
      <w:r>
        <w:rPr>
          <w:rFonts w:ascii="黑体" w:hAnsi="黑体" w:eastAsia="黑体"/>
        </w:rPr>
        <w:t>围</w:t>
      </w:r>
      <w:bookmarkEnd w:id="4"/>
      <w:r>
        <w:rPr>
          <w:rFonts w:ascii="黑体" w:hAnsi="黑体" w:eastAsia="黑体"/>
        </w:rPr>
        <w:t xml:space="preserve"> </w:t>
      </w:r>
    </w:p>
    <w:p>
      <w:pPr>
        <w:spacing w:line="360" w:lineRule="auto"/>
        <w:ind w:firstLine="480" w:firstLineChars="200"/>
        <w:rPr>
          <w:rFonts w:eastAsiaTheme="minorEastAsia"/>
          <w:sz w:val="24"/>
        </w:rPr>
      </w:pPr>
      <w:r>
        <w:rPr>
          <w:rFonts w:eastAsiaTheme="minorEastAsia"/>
          <w:sz w:val="24"/>
        </w:rPr>
        <w:t>本标准规定了药芯焊丝熔化极气体保护焊的基本要求，药芯焊丝一般要求、验收、使用储运与保管、焊接保护气体、焊接工艺及过程、焊接检验等要求。</w:t>
      </w:r>
    </w:p>
    <w:p>
      <w:pPr>
        <w:spacing w:line="360" w:lineRule="auto"/>
        <w:ind w:firstLine="480" w:firstLineChars="200"/>
        <w:rPr>
          <w:rFonts w:eastAsiaTheme="minorEastAsia"/>
          <w:sz w:val="24"/>
        </w:rPr>
      </w:pPr>
      <w:r>
        <w:rPr>
          <w:rFonts w:eastAsiaTheme="minorEastAsia"/>
          <w:sz w:val="24"/>
        </w:rPr>
        <w:t>本标准适用于碳钢，标准抗拉强度不高于540 MPa、设计温度不低于-46℃低合金钢，奥氏体不锈钢等钢制管道药芯焊丝熔化极气体保护焊接施工。</w:t>
      </w:r>
    </w:p>
    <w:p>
      <w:pPr>
        <w:spacing w:line="360" w:lineRule="auto"/>
        <w:ind w:firstLine="480" w:firstLineChars="200"/>
        <w:rPr>
          <w:rFonts w:eastAsiaTheme="minorEastAsia"/>
          <w:sz w:val="24"/>
        </w:rPr>
      </w:pPr>
      <w:r>
        <w:rPr>
          <w:rFonts w:eastAsiaTheme="minorEastAsia"/>
          <w:sz w:val="24"/>
        </w:rPr>
        <w:t>本标准也适用于金属粉芯焊丝的焊接工艺。</w:t>
      </w:r>
    </w:p>
    <w:p>
      <w:pPr>
        <w:spacing w:line="360" w:lineRule="auto"/>
        <w:ind w:firstLine="480" w:firstLineChars="200"/>
        <w:rPr>
          <w:rFonts w:eastAsiaTheme="minorEastAsia"/>
          <w:sz w:val="24"/>
        </w:rPr>
      </w:pPr>
      <w:r>
        <w:rPr>
          <w:rFonts w:eastAsiaTheme="minorEastAsia"/>
          <w:sz w:val="24"/>
        </w:rPr>
        <w:t>本标准不适用于自保护药芯焊丝焊接。</w:t>
      </w:r>
    </w:p>
    <w:p>
      <w:pPr>
        <w:spacing w:line="360" w:lineRule="auto"/>
        <w:ind w:firstLine="480" w:firstLineChars="200"/>
        <w:jc w:val="left"/>
        <w:rPr>
          <w:rFonts w:eastAsiaTheme="minorEastAsia"/>
          <w:sz w:val="24"/>
        </w:rPr>
      </w:pPr>
    </w:p>
    <w:p>
      <w:pPr>
        <w:pStyle w:val="87"/>
        <w:numPr>
          <w:ilvl w:val="0"/>
          <w:numId w:val="3"/>
        </w:numPr>
        <w:rPr>
          <w:rFonts w:ascii="黑体" w:hAnsi="黑体" w:eastAsia="黑体"/>
        </w:rPr>
      </w:pPr>
      <w:bookmarkStart w:id="5" w:name="_Toc131325323"/>
      <w:r>
        <w:rPr>
          <w:rFonts w:ascii="黑体" w:hAnsi="黑体" w:eastAsia="黑体"/>
        </w:rPr>
        <w:t>规范性引用文件</w:t>
      </w:r>
      <w:bookmarkEnd w:id="5"/>
    </w:p>
    <w:p>
      <w:pPr>
        <w:spacing w:line="360" w:lineRule="auto"/>
        <w:ind w:firstLine="480" w:firstLineChars="200"/>
        <w:rPr>
          <w:rFonts w:eastAsiaTheme="minorEastAsia"/>
          <w:sz w:val="24"/>
        </w:rPr>
      </w:pPr>
      <w:r>
        <w:rPr>
          <w:rFonts w:eastAsiaTheme="minorEastAsia"/>
          <w:sz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80" w:firstLineChars="200"/>
        <w:jc w:val="left"/>
        <w:rPr>
          <w:rFonts w:eastAsiaTheme="minorEastAsia"/>
          <w:sz w:val="24"/>
        </w:rPr>
      </w:pPr>
      <w:r>
        <w:rPr>
          <w:rFonts w:eastAsiaTheme="minorEastAsia"/>
          <w:sz w:val="24"/>
        </w:rPr>
        <w:t>GB 50184 工业金属管道工程施工质量验收规范</w:t>
      </w:r>
    </w:p>
    <w:p>
      <w:pPr>
        <w:spacing w:line="360" w:lineRule="auto"/>
        <w:ind w:firstLine="480" w:firstLineChars="200"/>
        <w:jc w:val="left"/>
        <w:rPr>
          <w:rFonts w:eastAsiaTheme="minorEastAsia"/>
          <w:sz w:val="24"/>
        </w:rPr>
      </w:pPr>
      <w:r>
        <w:rPr>
          <w:rFonts w:eastAsiaTheme="minorEastAsia"/>
          <w:sz w:val="24"/>
        </w:rPr>
        <w:t>GB 50235 工业金属管道工程施工及验收规范</w:t>
      </w:r>
    </w:p>
    <w:p>
      <w:pPr>
        <w:spacing w:line="360" w:lineRule="auto"/>
        <w:ind w:firstLine="480" w:firstLineChars="200"/>
        <w:jc w:val="left"/>
        <w:rPr>
          <w:rFonts w:eastAsiaTheme="minorEastAsia"/>
          <w:sz w:val="24"/>
        </w:rPr>
      </w:pPr>
      <w:r>
        <w:rPr>
          <w:rFonts w:eastAsiaTheme="minorEastAsia"/>
          <w:sz w:val="24"/>
        </w:rPr>
        <w:t>GB 50236 现场设备、工业管道焊接工程施工及验收规范</w:t>
      </w:r>
    </w:p>
    <w:p>
      <w:pPr>
        <w:spacing w:line="360" w:lineRule="auto"/>
        <w:ind w:firstLine="480" w:firstLineChars="200"/>
        <w:jc w:val="left"/>
        <w:rPr>
          <w:rFonts w:eastAsiaTheme="minorEastAsia"/>
          <w:sz w:val="24"/>
        </w:rPr>
      </w:pPr>
      <w:r>
        <w:rPr>
          <w:rFonts w:eastAsiaTheme="minorEastAsia"/>
          <w:sz w:val="24"/>
        </w:rPr>
        <w:t>GB 50517 石油化工金属管道工程施工质量验收规范</w:t>
      </w:r>
    </w:p>
    <w:p>
      <w:pPr>
        <w:spacing w:line="360" w:lineRule="auto"/>
        <w:ind w:firstLine="480" w:firstLineChars="200"/>
        <w:jc w:val="left"/>
        <w:rPr>
          <w:rFonts w:eastAsiaTheme="minorEastAsia"/>
          <w:sz w:val="24"/>
        </w:rPr>
      </w:pPr>
      <w:r>
        <w:rPr>
          <w:rFonts w:eastAsiaTheme="minorEastAsia"/>
          <w:sz w:val="24"/>
        </w:rPr>
        <w:t xml:space="preserve">GB 50683 现场设备、工业管道焊接工程施工质量验收规范   </w:t>
      </w:r>
    </w:p>
    <w:p>
      <w:pPr>
        <w:spacing w:line="360" w:lineRule="auto"/>
        <w:ind w:firstLine="480" w:firstLineChars="200"/>
        <w:jc w:val="left"/>
        <w:rPr>
          <w:rFonts w:eastAsiaTheme="minorEastAsia"/>
          <w:sz w:val="24"/>
        </w:rPr>
      </w:pPr>
      <w:r>
        <w:rPr>
          <w:rFonts w:eastAsiaTheme="minorEastAsia"/>
          <w:sz w:val="24"/>
        </w:rPr>
        <w:t>GB/T 985 气焊、焊条电弧焊、气体保护焊和高能束焊的推荐坡口</w:t>
      </w:r>
    </w:p>
    <w:p>
      <w:pPr>
        <w:spacing w:line="360" w:lineRule="auto"/>
        <w:ind w:firstLine="480" w:firstLineChars="200"/>
        <w:jc w:val="left"/>
        <w:rPr>
          <w:rFonts w:eastAsiaTheme="minorEastAsia"/>
          <w:sz w:val="24"/>
        </w:rPr>
      </w:pPr>
      <w:r>
        <w:rPr>
          <w:rFonts w:eastAsiaTheme="minorEastAsia"/>
          <w:sz w:val="24"/>
        </w:rPr>
        <w:t>GB/T 3375 焊接术语</w:t>
      </w:r>
    </w:p>
    <w:p>
      <w:pPr>
        <w:spacing w:line="360" w:lineRule="auto"/>
        <w:ind w:firstLine="480" w:firstLineChars="200"/>
        <w:jc w:val="left"/>
        <w:rPr>
          <w:rFonts w:eastAsiaTheme="minorEastAsia"/>
          <w:sz w:val="24"/>
        </w:rPr>
      </w:pPr>
      <w:r>
        <w:rPr>
          <w:rFonts w:eastAsiaTheme="minorEastAsia"/>
          <w:sz w:val="24"/>
        </w:rPr>
        <w:t xml:space="preserve">GB/T 3965 熔敷金属中扩散氢测定方法  </w:t>
      </w:r>
    </w:p>
    <w:p>
      <w:pPr>
        <w:spacing w:line="360" w:lineRule="auto"/>
        <w:ind w:firstLine="480" w:firstLineChars="200"/>
        <w:jc w:val="left"/>
        <w:rPr>
          <w:rFonts w:eastAsiaTheme="minorEastAsia"/>
          <w:sz w:val="24"/>
        </w:rPr>
      </w:pPr>
      <w:r>
        <w:rPr>
          <w:rFonts w:eastAsiaTheme="minorEastAsia"/>
          <w:sz w:val="24"/>
        </w:rPr>
        <w:t>GB/T 10045 非合金钢及细晶粒钢药芯焊丝</w:t>
      </w:r>
    </w:p>
    <w:p>
      <w:pPr>
        <w:spacing w:line="360" w:lineRule="auto"/>
        <w:ind w:firstLine="480" w:firstLineChars="200"/>
        <w:jc w:val="left"/>
        <w:rPr>
          <w:rFonts w:eastAsiaTheme="minorEastAsia"/>
          <w:sz w:val="24"/>
        </w:rPr>
      </w:pPr>
      <w:r>
        <w:rPr>
          <w:rFonts w:eastAsiaTheme="minorEastAsia"/>
          <w:sz w:val="24"/>
        </w:rPr>
        <w:t>GB/T 17493 热强钢药芯焊丝</w:t>
      </w:r>
    </w:p>
    <w:p>
      <w:pPr>
        <w:spacing w:line="360" w:lineRule="auto"/>
        <w:ind w:firstLine="480" w:firstLineChars="200"/>
        <w:jc w:val="left"/>
        <w:rPr>
          <w:rFonts w:eastAsiaTheme="minorEastAsia"/>
          <w:sz w:val="24"/>
        </w:rPr>
      </w:pPr>
      <w:r>
        <w:rPr>
          <w:rFonts w:eastAsiaTheme="minorEastAsia"/>
          <w:sz w:val="24"/>
        </w:rPr>
        <w:t>GB/T 17853 不锈钢药芯焊丝</w:t>
      </w:r>
    </w:p>
    <w:p>
      <w:pPr>
        <w:spacing w:line="360" w:lineRule="auto"/>
        <w:ind w:firstLine="480" w:firstLineChars="200"/>
        <w:jc w:val="left"/>
        <w:rPr>
          <w:rFonts w:eastAsiaTheme="minorEastAsia"/>
          <w:sz w:val="24"/>
        </w:rPr>
      </w:pPr>
      <w:r>
        <w:rPr>
          <w:rFonts w:eastAsiaTheme="minorEastAsia"/>
          <w:sz w:val="24"/>
        </w:rPr>
        <w:t xml:space="preserve">GB/T 25775 焊接材料供货技术条件  </w:t>
      </w:r>
    </w:p>
    <w:p>
      <w:pPr>
        <w:spacing w:line="360" w:lineRule="auto"/>
        <w:ind w:firstLine="480" w:firstLineChars="200"/>
        <w:jc w:val="left"/>
        <w:rPr>
          <w:rFonts w:eastAsiaTheme="minorEastAsia"/>
          <w:sz w:val="24"/>
        </w:rPr>
      </w:pPr>
      <w:r>
        <w:rPr>
          <w:rFonts w:eastAsiaTheme="minorEastAsia"/>
          <w:sz w:val="24"/>
        </w:rPr>
        <w:t xml:space="preserve">GB/T 25778 焊接材料采购指南    </w:t>
      </w:r>
    </w:p>
    <w:p>
      <w:pPr>
        <w:spacing w:line="360" w:lineRule="auto"/>
        <w:ind w:firstLine="480" w:firstLineChars="200"/>
        <w:jc w:val="left"/>
        <w:rPr>
          <w:rFonts w:eastAsiaTheme="minorEastAsia"/>
          <w:sz w:val="24"/>
        </w:rPr>
      </w:pPr>
      <w:r>
        <w:rPr>
          <w:rFonts w:eastAsiaTheme="minorEastAsia"/>
          <w:sz w:val="24"/>
        </w:rPr>
        <w:t>GB/T 30583 承压设备焊后热处理规程</w:t>
      </w:r>
    </w:p>
    <w:p>
      <w:pPr>
        <w:spacing w:line="360" w:lineRule="auto"/>
        <w:ind w:firstLine="480" w:firstLineChars="200"/>
        <w:jc w:val="left"/>
        <w:rPr>
          <w:rFonts w:eastAsiaTheme="minorEastAsia"/>
          <w:sz w:val="24"/>
        </w:rPr>
      </w:pPr>
      <w:r>
        <w:rPr>
          <w:rFonts w:eastAsiaTheme="minorEastAsia"/>
          <w:sz w:val="24"/>
        </w:rPr>
        <w:t>GB/T 36233 高强钢药芯焊丝</w:t>
      </w:r>
    </w:p>
    <w:p>
      <w:pPr>
        <w:spacing w:line="360" w:lineRule="auto"/>
        <w:ind w:firstLine="480" w:firstLineChars="200"/>
        <w:jc w:val="left"/>
        <w:rPr>
          <w:rFonts w:eastAsiaTheme="minorEastAsia"/>
          <w:sz w:val="24"/>
        </w:rPr>
      </w:pPr>
      <w:r>
        <w:rPr>
          <w:rFonts w:eastAsiaTheme="minorEastAsia"/>
          <w:sz w:val="24"/>
        </w:rPr>
        <w:t>GB/T 39255 焊接与切割用保护气体</w:t>
      </w:r>
    </w:p>
    <w:p>
      <w:pPr>
        <w:spacing w:line="360" w:lineRule="auto"/>
        <w:ind w:firstLine="480" w:firstLineChars="200"/>
        <w:jc w:val="left"/>
        <w:rPr>
          <w:rFonts w:eastAsiaTheme="minorEastAsia"/>
          <w:sz w:val="24"/>
        </w:rPr>
      </w:pPr>
      <w:r>
        <w:rPr>
          <w:rFonts w:eastAsiaTheme="minorEastAsia"/>
          <w:sz w:val="24"/>
        </w:rPr>
        <w:t>SH/T 3501 石油化工有毒、可燃介质钢制管道工程施工及验收规范</w:t>
      </w:r>
    </w:p>
    <w:p>
      <w:pPr>
        <w:spacing w:line="360" w:lineRule="auto"/>
        <w:ind w:firstLine="480" w:firstLineChars="200"/>
        <w:jc w:val="left"/>
        <w:rPr>
          <w:rFonts w:eastAsiaTheme="minorEastAsia"/>
          <w:sz w:val="24"/>
        </w:rPr>
      </w:pPr>
      <w:r>
        <w:rPr>
          <w:rFonts w:eastAsiaTheme="minorEastAsia"/>
          <w:sz w:val="24"/>
        </w:rPr>
        <w:t>SH/T 3558 石油化工工程焊接通用规范</w:t>
      </w:r>
    </w:p>
    <w:p>
      <w:pPr>
        <w:spacing w:line="360" w:lineRule="auto"/>
        <w:ind w:firstLine="480" w:firstLineChars="200"/>
        <w:jc w:val="left"/>
        <w:rPr>
          <w:rFonts w:eastAsiaTheme="minorEastAsia"/>
          <w:sz w:val="24"/>
        </w:rPr>
      </w:pPr>
      <w:r>
        <w:rPr>
          <w:rFonts w:eastAsiaTheme="minorEastAsia"/>
          <w:sz w:val="24"/>
        </w:rPr>
        <w:t>NB/T 10068 含稳定化元素不锈钢管道焊后热处理规范</w:t>
      </w:r>
    </w:p>
    <w:p>
      <w:pPr>
        <w:spacing w:line="360" w:lineRule="auto"/>
        <w:ind w:firstLine="480" w:firstLineChars="200"/>
        <w:jc w:val="left"/>
        <w:rPr>
          <w:rFonts w:eastAsiaTheme="minorEastAsia"/>
          <w:sz w:val="24"/>
        </w:rPr>
      </w:pPr>
      <w:r>
        <w:rPr>
          <w:rFonts w:eastAsiaTheme="minorEastAsia"/>
          <w:sz w:val="24"/>
        </w:rPr>
        <w:t>NB/T 47013 承压设备无损检测</w:t>
      </w:r>
    </w:p>
    <w:p>
      <w:pPr>
        <w:spacing w:line="360" w:lineRule="auto"/>
        <w:ind w:firstLine="480" w:firstLineChars="200"/>
        <w:jc w:val="left"/>
        <w:rPr>
          <w:rFonts w:eastAsiaTheme="minorEastAsia"/>
          <w:sz w:val="24"/>
        </w:rPr>
      </w:pPr>
      <w:r>
        <w:rPr>
          <w:rFonts w:eastAsiaTheme="minorEastAsia"/>
          <w:sz w:val="24"/>
        </w:rPr>
        <w:t>NB/T 47014 承压设备焊接工艺评定</w:t>
      </w:r>
    </w:p>
    <w:p>
      <w:pPr>
        <w:spacing w:line="360" w:lineRule="auto"/>
        <w:ind w:firstLine="480" w:firstLineChars="200"/>
        <w:jc w:val="left"/>
        <w:rPr>
          <w:rFonts w:eastAsiaTheme="minorEastAsia"/>
          <w:sz w:val="24"/>
        </w:rPr>
      </w:pPr>
      <w:r>
        <w:rPr>
          <w:rFonts w:eastAsiaTheme="minorEastAsia"/>
          <w:sz w:val="24"/>
        </w:rPr>
        <w:t>NB/T 47018 承压设备用焊接材料订货技术条件</w:t>
      </w:r>
    </w:p>
    <w:p>
      <w:pPr>
        <w:spacing w:line="360" w:lineRule="auto"/>
        <w:ind w:firstLine="480" w:firstLineChars="200"/>
        <w:jc w:val="left"/>
        <w:rPr>
          <w:rFonts w:eastAsiaTheme="minorEastAsia"/>
          <w:sz w:val="24"/>
        </w:rPr>
      </w:pPr>
      <w:r>
        <w:rPr>
          <w:rFonts w:eastAsiaTheme="minorEastAsia"/>
          <w:sz w:val="24"/>
        </w:rPr>
        <w:t>TSG Z 6002 特种设备焊接操作人员考核细则</w:t>
      </w:r>
    </w:p>
    <w:p>
      <w:pPr>
        <w:spacing w:line="360" w:lineRule="auto"/>
        <w:ind w:firstLine="480" w:firstLineChars="200"/>
        <w:jc w:val="left"/>
        <w:rPr>
          <w:rFonts w:eastAsiaTheme="minorEastAsia"/>
          <w:sz w:val="24"/>
        </w:rPr>
      </w:pPr>
      <w:r>
        <w:rPr>
          <w:rFonts w:eastAsiaTheme="minorEastAsia"/>
          <w:sz w:val="24"/>
        </w:rPr>
        <w:t>JB/T 3223 焊接材料质量管理规程</w:t>
      </w:r>
    </w:p>
    <w:p>
      <w:pPr>
        <w:spacing w:line="360" w:lineRule="auto"/>
        <w:ind w:firstLine="480" w:firstLineChars="200"/>
        <w:jc w:val="left"/>
        <w:rPr>
          <w:rFonts w:eastAsiaTheme="minorEastAsia"/>
          <w:sz w:val="24"/>
        </w:rPr>
      </w:pPr>
    </w:p>
    <w:p>
      <w:pPr>
        <w:pStyle w:val="87"/>
        <w:rPr>
          <w:rFonts w:ascii="黑体" w:hAnsi="黑体" w:eastAsia="黑体"/>
        </w:rPr>
      </w:pPr>
      <w:bookmarkStart w:id="6" w:name="_Toc131325324"/>
      <w:r>
        <w:rPr>
          <w:rFonts w:ascii="黑体" w:hAnsi="黑体" w:eastAsia="黑体"/>
        </w:rPr>
        <w:t>3   术语和定义</w:t>
      </w:r>
      <w:bookmarkEnd w:id="6"/>
      <w:r>
        <w:rPr>
          <w:rFonts w:ascii="黑体" w:hAnsi="黑体" w:eastAsia="黑体"/>
        </w:rPr>
        <w:t xml:space="preserve"> </w:t>
      </w:r>
    </w:p>
    <w:p>
      <w:pPr>
        <w:spacing w:line="360" w:lineRule="auto"/>
        <w:jc w:val="left"/>
        <w:rPr>
          <w:rFonts w:eastAsiaTheme="minorEastAsia"/>
          <w:sz w:val="24"/>
        </w:rPr>
      </w:pPr>
      <w:r>
        <w:rPr>
          <w:rFonts w:eastAsiaTheme="minorEastAsia"/>
          <w:sz w:val="24"/>
        </w:rPr>
        <w:t>3.1 细丝</w:t>
      </w:r>
      <w:r>
        <w:rPr>
          <w:rFonts w:hint="eastAsia" w:eastAsiaTheme="minorEastAsia"/>
          <w:sz w:val="24"/>
        </w:rPr>
        <w:t xml:space="preserve"> thin</w:t>
      </w:r>
      <w:r>
        <w:rPr>
          <w:rFonts w:eastAsiaTheme="minorEastAsia"/>
          <w:sz w:val="24"/>
        </w:rPr>
        <w:t xml:space="preserve"> </w:t>
      </w:r>
      <w:r>
        <w:rPr>
          <w:rFonts w:hint="eastAsia" w:eastAsiaTheme="minorEastAsia"/>
          <w:sz w:val="24"/>
        </w:rPr>
        <w:t>wire</w:t>
      </w:r>
    </w:p>
    <w:p>
      <w:pPr>
        <w:spacing w:line="360" w:lineRule="auto"/>
        <w:ind w:firstLine="480" w:firstLineChars="200"/>
        <w:jc w:val="left"/>
        <w:rPr>
          <w:rFonts w:eastAsiaTheme="minorEastAsia"/>
          <w:sz w:val="24"/>
        </w:rPr>
      </w:pPr>
      <w:r>
        <w:rPr>
          <w:rFonts w:eastAsiaTheme="minorEastAsia"/>
          <w:sz w:val="24"/>
        </w:rPr>
        <w:t>焊丝直径≤</w:t>
      </w:r>
      <w:r>
        <w:rPr>
          <w:rFonts w:eastAsiaTheme="minorEastAsia"/>
          <w:i/>
          <w:sz w:val="24"/>
        </w:rPr>
        <w:t>φ</w:t>
      </w:r>
      <w:r>
        <w:rPr>
          <w:rFonts w:eastAsiaTheme="minorEastAsia"/>
          <w:sz w:val="24"/>
        </w:rPr>
        <w:t>1.2mm熔化极气保焊丝</w:t>
      </w:r>
    </w:p>
    <w:p>
      <w:pPr>
        <w:spacing w:line="360" w:lineRule="auto"/>
        <w:jc w:val="left"/>
        <w:rPr>
          <w:rFonts w:eastAsiaTheme="minorEastAsia"/>
          <w:sz w:val="24"/>
        </w:rPr>
      </w:pPr>
      <w:r>
        <w:rPr>
          <w:rFonts w:eastAsiaTheme="minorEastAsia"/>
          <w:sz w:val="24"/>
        </w:rPr>
        <w:t>3.2 粗丝</w:t>
      </w:r>
      <w:r>
        <w:rPr>
          <w:rFonts w:hint="eastAsia" w:eastAsiaTheme="minorEastAsia"/>
          <w:sz w:val="24"/>
        </w:rPr>
        <w:t xml:space="preserve"> thick</w:t>
      </w:r>
      <w:r>
        <w:rPr>
          <w:rFonts w:eastAsiaTheme="minorEastAsia"/>
          <w:sz w:val="24"/>
        </w:rPr>
        <w:t xml:space="preserve"> </w:t>
      </w:r>
      <w:r>
        <w:rPr>
          <w:rFonts w:hint="eastAsia" w:eastAsiaTheme="minorEastAsia"/>
          <w:sz w:val="24"/>
        </w:rPr>
        <w:t>wire</w:t>
      </w:r>
    </w:p>
    <w:p>
      <w:pPr>
        <w:spacing w:line="360" w:lineRule="auto"/>
        <w:ind w:firstLine="480" w:firstLineChars="200"/>
        <w:jc w:val="left"/>
        <w:rPr>
          <w:rFonts w:eastAsiaTheme="minorEastAsia"/>
          <w:color w:val="FF0000"/>
          <w:sz w:val="24"/>
        </w:rPr>
      </w:pPr>
      <w:r>
        <w:rPr>
          <w:rFonts w:eastAsiaTheme="minorEastAsia"/>
          <w:sz w:val="24"/>
        </w:rPr>
        <w:t>焊丝直径≥</w:t>
      </w:r>
      <w:r>
        <w:rPr>
          <w:rFonts w:eastAsiaTheme="minorEastAsia"/>
          <w:i/>
          <w:sz w:val="24"/>
        </w:rPr>
        <w:t>φ</w:t>
      </w:r>
      <w:r>
        <w:rPr>
          <w:rFonts w:eastAsiaTheme="minorEastAsia"/>
          <w:sz w:val="24"/>
        </w:rPr>
        <w:t xml:space="preserve">1.6mm熔化极气保焊丝  </w:t>
      </w:r>
    </w:p>
    <w:p>
      <w:pPr>
        <w:spacing w:line="360" w:lineRule="auto"/>
        <w:jc w:val="left"/>
        <w:rPr>
          <w:rFonts w:eastAsiaTheme="minorEastAsia"/>
          <w:sz w:val="24"/>
        </w:rPr>
      </w:pPr>
      <w:r>
        <w:rPr>
          <w:rFonts w:eastAsiaTheme="minorEastAsia"/>
          <w:sz w:val="24"/>
        </w:rPr>
        <w:t>3.3 推丝式送丝</w:t>
      </w:r>
      <w:r>
        <w:rPr>
          <w:rFonts w:hint="eastAsia" w:eastAsiaTheme="minorEastAsia"/>
          <w:sz w:val="24"/>
        </w:rPr>
        <w:t xml:space="preserve"> pushing</w:t>
      </w:r>
      <w:r>
        <w:rPr>
          <w:rFonts w:eastAsiaTheme="minorEastAsia"/>
          <w:sz w:val="24"/>
        </w:rPr>
        <w:t xml:space="preserve"> </w:t>
      </w:r>
      <w:r>
        <w:rPr>
          <w:rFonts w:hint="eastAsia" w:eastAsiaTheme="minorEastAsia"/>
          <w:sz w:val="24"/>
        </w:rPr>
        <w:t>wire</w:t>
      </w:r>
      <w:r>
        <w:rPr>
          <w:rFonts w:eastAsiaTheme="minorEastAsia"/>
          <w:sz w:val="24"/>
        </w:rPr>
        <w:t xml:space="preserve"> </w:t>
      </w:r>
      <w:r>
        <w:rPr>
          <w:rFonts w:hint="eastAsia" w:eastAsiaTheme="minorEastAsia"/>
          <w:sz w:val="24"/>
        </w:rPr>
        <w:t>feeding</w:t>
      </w:r>
    </w:p>
    <w:p>
      <w:pPr>
        <w:spacing w:line="360" w:lineRule="auto"/>
        <w:ind w:firstLine="480" w:firstLineChars="200"/>
        <w:jc w:val="left"/>
        <w:rPr>
          <w:rFonts w:eastAsiaTheme="minorEastAsia"/>
          <w:sz w:val="24"/>
        </w:rPr>
      </w:pPr>
      <w:r>
        <w:rPr>
          <w:rFonts w:eastAsiaTheme="minorEastAsia"/>
          <w:sz w:val="24"/>
        </w:rPr>
        <w:t>焊枪与送丝机构分开，焊丝由送丝机构推送，通过一段软管进入焊枪。焊枪结构简单轻便，一般作为手工焊接使用。</w:t>
      </w:r>
    </w:p>
    <w:p>
      <w:pPr>
        <w:spacing w:line="360" w:lineRule="auto"/>
        <w:jc w:val="left"/>
        <w:rPr>
          <w:rFonts w:eastAsiaTheme="minorEastAsia"/>
          <w:sz w:val="24"/>
        </w:rPr>
      </w:pPr>
      <w:r>
        <w:rPr>
          <w:rFonts w:eastAsiaTheme="minorEastAsia"/>
          <w:sz w:val="24"/>
        </w:rPr>
        <w:t>3.4 拉丝式送丝</w:t>
      </w:r>
      <w:r>
        <w:rPr>
          <w:rFonts w:hint="eastAsia" w:eastAsiaTheme="minorEastAsia"/>
          <w:sz w:val="24"/>
        </w:rPr>
        <w:t>drawing</w:t>
      </w:r>
      <w:r>
        <w:rPr>
          <w:rFonts w:eastAsiaTheme="minorEastAsia"/>
          <w:sz w:val="24"/>
        </w:rPr>
        <w:t xml:space="preserve"> </w:t>
      </w:r>
      <w:r>
        <w:rPr>
          <w:rFonts w:hint="eastAsia" w:eastAsiaTheme="minorEastAsia"/>
          <w:sz w:val="24"/>
        </w:rPr>
        <w:t>wire</w:t>
      </w:r>
      <w:r>
        <w:rPr>
          <w:rFonts w:eastAsiaTheme="minorEastAsia"/>
          <w:sz w:val="24"/>
        </w:rPr>
        <w:t xml:space="preserve"> </w:t>
      </w:r>
      <w:r>
        <w:rPr>
          <w:rFonts w:hint="eastAsia" w:eastAsiaTheme="minorEastAsia"/>
          <w:sz w:val="24"/>
        </w:rPr>
        <w:t>feeding</w:t>
      </w:r>
    </w:p>
    <w:p>
      <w:pPr>
        <w:spacing w:line="360" w:lineRule="auto"/>
        <w:ind w:firstLine="480" w:firstLineChars="200"/>
        <w:jc w:val="left"/>
        <w:rPr>
          <w:rFonts w:eastAsiaTheme="minorEastAsia"/>
          <w:sz w:val="24"/>
        </w:rPr>
      </w:pPr>
      <w:r>
        <w:rPr>
          <w:rFonts w:eastAsiaTheme="minorEastAsia"/>
          <w:sz w:val="24"/>
        </w:rPr>
        <w:t>焊枪与送丝机构集成，焊丝</w:t>
      </w:r>
      <w:r>
        <w:rPr>
          <w:rFonts w:hint="eastAsia" w:eastAsiaTheme="minorEastAsia"/>
          <w:sz w:val="24"/>
        </w:rPr>
        <w:t>压紧轮集成在</w:t>
      </w:r>
      <w:r>
        <w:rPr>
          <w:rFonts w:eastAsiaTheme="minorEastAsia"/>
          <w:sz w:val="24"/>
        </w:rPr>
        <w:t>焊枪上，焊丝由</w:t>
      </w:r>
      <w:r>
        <w:rPr>
          <w:rFonts w:hint="eastAsia" w:eastAsiaTheme="minorEastAsia"/>
          <w:sz w:val="24"/>
        </w:rPr>
        <w:t>焊丝压紧轮拖拽</w:t>
      </w:r>
      <w:r>
        <w:rPr>
          <w:rFonts w:eastAsiaTheme="minorEastAsia"/>
          <w:sz w:val="24"/>
        </w:rPr>
        <w:t>送至喷嘴，由于焊枪较重，一般作为机动焊、自动焊焊接使用。</w:t>
      </w:r>
    </w:p>
    <w:p>
      <w:pPr>
        <w:spacing w:line="360" w:lineRule="auto"/>
        <w:jc w:val="left"/>
        <w:rPr>
          <w:rFonts w:eastAsiaTheme="minorEastAsia"/>
          <w:sz w:val="24"/>
        </w:rPr>
      </w:pPr>
      <w:r>
        <w:rPr>
          <w:rFonts w:eastAsiaTheme="minorEastAsia"/>
          <w:sz w:val="24"/>
        </w:rPr>
        <w:t>3.5基本气体</w:t>
      </w:r>
      <w:r>
        <w:rPr>
          <w:rFonts w:hint="eastAsia" w:eastAsiaTheme="minorEastAsia"/>
          <w:sz w:val="24"/>
        </w:rPr>
        <w:t xml:space="preserve"> main</w:t>
      </w:r>
      <w:r>
        <w:rPr>
          <w:rFonts w:eastAsiaTheme="minorEastAsia"/>
          <w:sz w:val="24"/>
        </w:rPr>
        <w:t xml:space="preserve"> </w:t>
      </w:r>
      <w:r>
        <w:rPr>
          <w:rFonts w:hint="eastAsia" w:eastAsiaTheme="minorEastAsia"/>
          <w:sz w:val="24"/>
        </w:rPr>
        <w:t>gas</w:t>
      </w:r>
    </w:p>
    <w:p>
      <w:pPr>
        <w:spacing w:line="360" w:lineRule="auto"/>
        <w:ind w:firstLine="480" w:firstLineChars="200"/>
        <w:jc w:val="left"/>
        <w:rPr>
          <w:rFonts w:eastAsiaTheme="minorEastAsia"/>
          <w:sz w:val="24"/>
        </w:rPr>
      </w:pPr>
      <w:r>
        <w:rPr>
          <w:rFonts w:eastAsiaTheme="minorEastAsia"/>
          <w:sz w:val="24"/>
        </w:rPr>
        <w:t>组合气体中的主要组分或单一组分的气体。</w:t>
      </w:r>
    </w:p>
    <w:p>
      <w:pPr>
        <w:spacing w:line="360" w:lineRule="auto"/>
        <w:jc w:val="left"/>
        <w:rPr>
          <w:rFonts w:eastAsiaTheme="minorEastAsia"/>
          <w:sz w:val="24"/>
        </w:rPr>
      </w:pPr>
      <w:r>
        <w:rPr>
          <w:rFonts w:eastAsiaTheme="minorEastAsia"/>
          <w:sz w:val="24"/>
        </w:rPr>
        <w:t>3.6混合气体</w:t>
      </w:r>
      <w:r>
        <w:rPr>
          <w:rFonts w:hint="eastAsia" w:eastAsiaTheme="minorEastAsia"/>
          <w:sz w:val="24"/>
        </w:rPr>
        <w:t xml:space="preserve"> mixed</w:t>
      </w:r>
      <w:r>
        <w:rPr>
          <w:rFonts w:eastAsiaTheme="minorEastAsia"/>
          <w:sz w:val="24"/>
        </w:rPr>
        <w:t xml:space="preserve"> </w:t>
      </w:r>
      <w:r>
        <w:rPr>
          <w:rFonts w:hint="eastAsia" w:eastAsiaTheme="minorEastAsia"/>
          <w:sz w:val="24"/>
        </w:rPr>
        <w:t>gas</w:t>
      </w:r>
    </w:p>
    <w:p>
      <w:pPr>
        <w:spacing w:line="360" w:lineRule="auto"/>
        <w:ind w:firstLine="480" w:firstLineChars="200"/>
        <w:jc w:val="left"/>
        <w:rPr>
          <w:rFonts w:eastAsiaTheme="minorEastAsia"/>
          <w:sz w:val="24"/>
        </w:rPr>
      </w:pPr>
      <w:r>
        <w:rPr>
          <w:rFonts w:eastAsiaTheme="minorEastAsia"/>
          <w:sz w:val="24"/>
        </w:rPr>
        <w:t>包含两种或两种以上有效组合的气体。</w:t>
      </w:r>
    </w:p>
    <w:p>
      <w:pPr>
        <w:spacing w:line="360" w:lineRule="auto"/>
        <w:jc w:val="left"/>
        <w:rPr>
          <w:rFonts w:eastAsiaTheme="minorEastAsia"/>
          <w:sz w:val="24"/>
        </w:rPr>
      </w:pPr>
      <w:r>
        <w:rPr>
          <w:rFonts w:eastAsiaTheme="minorEastAsia"/>
          <w:sz w:val="24"/>
        </w:rPr>
        <w:t>3.7喷射过渡</w:t>
      </w:r>
      <w:r>
        <w:rPr>
          <w:rFonts w:hint="eastAsia" w:eastAsiaTheme="minorEastAsia"/>
          <w:sz w:val="24"/>
        </w:rPr>
        <w:t xml:space="preserve"> spray</w:t>
      </w:r>
      <w:r>
        <w:rPr>
          <w:rFonts w:eastAsiaTheme="minorEastAsia"/>
          <w:sz w:val="24"/>
        </w:rPr>
        <w:t xml:space="preserve"> </w:t>
      </w:r>
      <w:r>
        <w:rPr>
          <w:rFonts w:hint="eastAsia" w:eastAsiaTheme="minorEastAsia"/>
          <w:sz w:val="24"/>
        </w:rPr>
        <w:t>transfer</w:t>
      </w:r>
    </w:p>
    <w:p>
      <w:pPr>
        <w:spacing w:line="360" w:lineRule="auto"/>
        <w:ind w:firstLine="480" w:firstLineChars="200"/>
        <w:jc w:val="left"/>
        <w:rPr>
          <w:rFonts w:eastAsiaTheme="minorEastAsia"/>
          <w:sz w:val="24"/>
        </w:rPr>
      </w:pPr>
      <w:r>
        <w:rPr>
          <w:rFonts w:eastAsiaTheme="minorEastAsia"/>
          <w:sz w:val="24"/>
        </w:rPr>
        <w:t>熔滴呈细小颗粒并以喷射状态快速通过电弧区向熔池过渡的形式。</w:t>
      </w:r>
    </w:p>
    <w:p>
      <w:pPr>
        <w:spacing w:line="360" w:lineRule="auto"/>
        <w:jc w:val="left"/>
        <w:rPr>
          <w:rFonts w:eastAsiaTheme="minorEastAsia"/>
          <w:sz w:val="24"/>
        </w:rPr>
      </w:pPr>
      <w:r>
        <w:rPr>
          <w:rFonts w:eastAsiaTheme="minorEastAsia"/>
          <w:sz w:val="24"/>
        </w:rPr>
        <w:t>3.8脉冲喷射过渡</w:t>
      </w:r>
      <w:r>
        <w:rPr>
          <w:rFonts w:hint="eastAsia" w:eastAsiaTheme="minorEastAsia"/>
          <w:sz w:val="24"/>
        </w:rPr>
        <w:t xml:space="preserve"> pulsed</w:t>
      </w:r>
      <w:r>
        <w:rPr>
          <w:rFonts w:eastAsiaTheme="minorEastAsia"/>
          <w:sz w:val="24"/>
        </w:rPr>
        <w:t xml:space="preserve"> </w:t>
      </w:r>
      <w:r>
        <w:rPr>
          <w:rFonts w:hint="eastAsia" w:eastAsiaTheme="minorEastAsia"/>
          <w:sz w:val="24"/>
        </w:rPr>
        <w:t>spray</w:t>
      </w:r>
      <w:r>
        <w:rPr>
          <w:rFonts w:eastAsiaTheme="minorEastAsia"/>
          <w:sz w:val="24"/>
        </w:rPr>
        <w:t xml:space="preserve"> </w:t>
      </w:r>
      <w:r>
        <w:rPr>
          <w:rFonts w:hint="eastAsia" w:eastAsiaTheme="minorEastAsia"/>
          <w:sz w:val="24"/>
        </w:rPr>
        <w:t>transfer</w:t>
      </w:r>
    </w:p>
    <w:p>
      <w:pPr>
        <w:spacing w:line="360" w:lineRule="auto"/>
        <w:ind w:firstLine="480" w:firstLineChars="200"/>
        <w:jc w:val="left"/>
        <w:rPr>
          <w:rFonts w:eastAsiaTheme="minorEastAsia"/>
          <w:sz w:val="24"/>
        </w:rPr>
      </w:pPr>
      <w:r>
        <w:rPr>
          <w:rFonts w:eastAsiaTheme="minorEastAsia"/>
          <w:sz w:val="24"/>
        </w:rPr>
        <w:t>利用脉冲电流控制的喷射过渡。</w:t>
      </w:r>
    </w:p>
    <w:p>
      <w:pPr>
        <w:spacing w:line="360" w:lineRule="auto"/>
        <w:jc w:val="left"/>
        <w:rPr>
          <w:rFonts w:eastAsiaTheme="minorEastAsia"/>
          <w:sz w:val="24"/>
        </w:rPr>
      </w:pPr>
      <w:r>
        <w:rPr>
          <w:rFonts w:eastAsiaTheme="minorEastAsia"/>
          <w:sz w:val="24"/>
        </w:rPr>
        <w:t>3.9 填充比（率）</w:t>
      </w:r>
      <w:r>
        <w:rPr>
          <w:rFonts w:hint="eastAsia" w:eastAsiaTheme="minorEastAsia"/>
          <w:sz w:val="24"/>
        </w:rPr>
        <w:t xml:space="preserve"> filling</w:t>
      </w:r>
      <w:r>
        <w:rPr>
          <w:rFonts w:eastAsiaTheme="minorEastAsia"/>
          <w:sz w:val="24"/>
        </w:rPr>
        <w:t xml:space="preserve"> </w:t>
      </w:r>
      <w:r>
        <w:rPr>
          <w:rFonts w:hint="eastAsia" w:eastAsiaTheme="minorEastAsia"/>
          <w:sz w:val="24"/>
        </w:rPr>
        <w:t>ratio</w:t>
      </w:r>
    </w:p>
    <w:p>
      <w:pPr>
        <w:spacing w:line="360" w:lineRule="auto"/>
        <w:rPr>
          <w:rFonts w:eastAsiaTheme="minorEastAsia"/>
          <w:sz w:val="24"/>
        </w:rPr>
      </w:pPr>
      <w:r>
        <w:rPr>
          <w:rFonts w:eastAsiaTheme="minorEastAsia"/>
          <w:sz w:val="24"/>
        </w:rPr>
        <w:t xml:space="preserve">    (包药成型线总重-去药后成型线净重)/包药成型线总重×100%。</w:t>
      </w:r>
    </w:p>
    <w:p>
      <w:pPr>
        <w:pStyle w:val="87"/>
        <w:rPr>
          <w:rFonts w:ascii="黑体" w:hAnsi="黑体" w:eastAsia="黑体"/>
        </w:rPr>
      </w:pPr>
      <w:bookmarkStart w:id="7" w:name="_Toc131325325"/>
      <w:r>
        <w:rPr>
          <w:rFonts w:ascii="黑体" w:hAnsi="黑体" w:eastAsia="黑体"/>
        </w:rPr>
        <w:t>4  基本规定</w:t>
      </w:r>
      <w:bookmarkEnd w:id="7"/>
    </w:p>
    <w:p>
      <w:pPr>
        <w:spacing w:line="360" w:lineRule="auto"/>
        <w:rPr>
          <w:rFonts w:eastAsiaTheme="minorEastAsia"/>
          <w:sz w:val="24"/>
        </w:rPr>
      </w:pPr>
      <w:r>
        <w:rPr>
          <w:rFonts w:eastAsiaTheme="minorEastAsia"/>
          <w:sz w:val="24"/>
        </w:rPr>
        <w:t>4.1  药芯焊丝制造商应具有GB/T 25778要求的质量保证体系，保证其数据的真实性、有效性及可追溯性。</w:t>
      </w:r>
    </w:p>
    <w:p>
      <w:pPr>
        <w:spacing w:line="360" w:lineRule="auto"/>
        <w:rPr>
          <w:rFonts w:eastAsiaTheme="minorEastAsia"/>
          <w:sz w:val="24"/>
        </w:rPr>
      </w:pPr>
      <w:r>
        <w:rPr>
          <w:rFonts w:eastAsiaTheme="minorEastAsia"/>
          <w:sz w:val="24"/>
        </w:rPr>
        <w:t>4.2  药芯焊丝应具有制造商的质量证明文件，并应符合国家现行标准、设计文件和订货技术条件的规定。质量证明文件至少应包括下列内容：</w:t>
      </w:r>
    </w:p>
    <w:p>
      <w:pPr>
        <w:pStyle w:val="84"/>
        <w:numPr>
          <w:ilvl w:val="0"/>
          <w:numId w:val="4"/>
        </w:numPr>
        <w:spacing w:line="360" w:lineRule="auto"/>
        <w:ind w:firstLineChars="0"/>
        <w:rPr>
          <w:rFonts w:eastAsiaTheme="minorEastAsia"/>
          <w:sz w:val="24"/>
        </w:rPr>
      </w:pPr>
      <w:r>
        <w:rPr>
          <w:rFonts w:eastAsiaTheme="minorEastAsia"/>
          <w:sz w:val="24"/>
        </w:rPr>
        <w:t>标准号；</w:t>
      </w:r>
    </w:p>
    <w:p>
      <w:pPr>
        <w:pStyle w:val="84"/>
        <w:numPr>
          <w:ilvl w:val="0"/>
          <w:numId w:val="4"/>
        </w:numPr>
        <w:spacing w:line="360" w:lineRule="auto"/>
        <w:ind w:firstLineChars="0"/>
        <w:rPr>
          <w:rFonts w:eastAsiaTheme="minorEastAsia"/>
          <w:sz w:val="24"/>
        </w:rPr>
      </w:pPr>
      <w:r>
        <w:rPr>
          <w:rFonts w:eastAsiaTheme="minorEastAsia"/>
          <w:sz w:val="24"/>
        </w:rPr>
        <w:t>规格、牌号（型号）及特性数据；</w:t>
      </w:r>
    </w:p>
    <w:p>
      <w:pPr>
        <w:pStyle w:val="84"/>
        <w:numPr>
          <w:ilvl w:val="0"/>
          <w:numId w:val="4"/>
        </w:numPr>
        <w:spacing w:line="360" w:lineRule="auto"/>
        <w:ind w:firstLineChars="0"/>
        <w:rPr>
          <w:rFonts w:eastAsiaTheme="minorEastAsia"/>
          <w:sz w:val="24"/>
        </w:rPr>
      </w:pPr>
      <w:r>
        <w:rPr>
          <w:rFonts w:eastAsiaTheme="minorEastAsia"/>
          <w:sz w:val="24"/>
        </w:rPr>
        <w:t>生产批号和供货状态；</w:t>
      </w:r>
    </w:p>
    <w:p>
      <w:pPr>
        <w:pStyle w:val="84"/>
        <w:numPr>
          <w:ilvl w:val="0"/>
          <w:numId w:val="4"/>
        </w:numPr>
        <w:spacing w:line="360" w:lineRule="auto"/>
        <w:ind w:firstLineChars="0"/>
        <w:rPr>
          <w:rFonts w:eastAsiaTheme="minorEastAsia"/>
          <w:sz w:val="24"/>
        </w:rPr>
      </w:pPr>
      <w:r>
        <w:rPr>
          <w:rFonts w:eastAsiaTheme="minorEastAsia"/>
          <w:sz w:val="24"/>
        </w:rPr>
        <w:t>制造商名称；</w:t>
      </w:r>
    </w:p>
    <w:p>
      <w:pPr>
        <w:pStyle w:val="84"/>
        <w:numPr>
          <w:ilvl w:val="0"/>
          <w:numId w:val="4"/>
        </w:numPr>
        <w:spacing w:line="360" w:lineRule="auto"/>
        <w:ind w:firstLineChars="0"/>
        <w:rPr>
          <w:rFonts w:eastAsiaTheme="minorEastAsia"/>
          <w:sz w:val="24"/>
        </w:rPr>
      </w:pPr>
      <w:r>
        <w:rPr>
          <w:rFonts w:eastAsiaTheme="minorEastAsia"/>
          <w:sz w:val="24"/>
        </w:rPr>
        <w:t>检验印鉴标志。</w:t>
      </w:r>
    </w:p>
    <w:p>
      <w:pPr>
        <w:spacing w:line="360" w:lineRule="auto"/>
        <w:rPr>
          <w:rFonts w:eastAsiaTheme="minorEastAsia"/>
          <w:sz w:val="24"/>
        </w:rPr>
      </w:pPr>
      <w:r>
        <w:rPr>
          <w:rFonts w:eastAsiaTheme="minorEastAsia"/>
          <w:sz w:val="24"/>
        </w:rPr>
        <w:t>4.3  当药芯焊丝由下列情况之一时不得使用：</w:t>
      </w:r>
    </w:p>
    <w:p>
      <w:pPr>
        <w:pStyle w:val="84"/>
        <w:numPr>
          <w:ilvl w:val="0"/>
          <w:numId w:val="5"/>
        </w:numPr>
        <w:spacing w:line="360" w:lineRule="auto"/>
        <w:ind w:firstLineChars="0"/>
        <w:rPr>
          <w:rFonts w:eastAsiaTheme="minorEastAsia"/>
          <w:sz w:val="24"/>
        </w:rPr>
      </w:pPr>
      <w:r>
        <w:rPr>
          <w:rFonts w:eastAsiaTheme="minorEastAsia"/>
          <w:sz w:val="24"/>
        </w:rPr>
        <w:t>质量证明文件不符合产品技术标准和订货技术条件；</w:t>
      </w:r>
    </w:p>
    <w:p>
      <w:pPr>
        <w:pStyle w:val="84"/>
        <w:numPr>
          <w:ilvl w:val="0"/>
          <w:numId w:val="5"/>
        </w:numPr>
        <w:spacing w:line="360" w:lineRule="auto"/>
        <w:ind w:firstLineChars="0"/>
        <w:rPr>
          <w:rFonts w:eastAsiaTheme="minorEastAsia"/>
          <w:sz w:val="24"/>
        </w:rPr>
      </w:pPr>
      <w:r>
        <w:rPr>
          <w:rFonts w:eastAsiaTheme="minorEastAsia"/>
          <w:sz w:val="24"/>
        </w:rPr>
        <w:t>对质量证明文件特性数据有异议；</w:t>
      </w:r>
    </w:p>
    <w:p>
      <w:pPr>
        <w:pStyle w:val="84"/>
        <w:numPr>
          <w:ilvl w:val="0"/>
          <w:numId w:val="5"/>
        </w:numPr>
        <w:spacing w:line="360" w:lineRule="auto"/>
        <w:ind w:firstLineChars="0"/>
        <w:rPr>
          <w:rFonts w:eastAsiaTheme="minorEastAsia"/>
          <w:sz w:val="24"/>
        </w:rPr>
      </w:pPr>
      <w:r>
        <w:rPr>
          <w:rFonts w:eastAsiaTheme="minorEastAsia"/>
          <w:sz w:val="24"/>
        </w:rPr>
        <w:t>实物标识与质量证明文件内容不符；</w:t>
      </w:r>
    </w:p>
    <w:p>
      <w:pPr>
        <w:pStyle w:val="84"/>
        <w:numPr>
          <w:ilvl w:val="0"/>
          <w:numId w:val="5"/>
        </w:numPr>
        <w:spacing w:line="360" w:lineRule="auto"/>
        <w:ind w:firstLineChars="0"/>
        <w:rPr>
          <w:rFonts w:eastAsiaTheme="minorEastAsia"/>
          <w:sz w:val="24"/>
        </w:rPr>
      </w:pPr>
      <w:r>
        <w:rPr>
          <w:rFonts w:eastAsiaTheme="minorEastAsia"/>
          <w:sz w:val="24"/>
        </w:rPr>
        <w:t>要求复验的材料未进行复验或复验不合格。</w:t>
      </w:r>
    </w:p>
    <w:p>
      <w:pPr>
        <w:pStyle w:val="84"/>
        <w:numPr>
          <w:ilvl w:val="1"/>
          <w:numId w:val="6"/>
        </w:numPr>
        <w:spacing w:line="360" w:lineRule="auto"/>
        <w:ind w:firstLineChars="0"/>
        <w:rPr>
          <w:rFonts w:eastAsiaTheme="minorEastAsia"/>
          <w:sz w:val="24"/>
        </w:rPr>
      </w:pPr>
      <w:r>
        <w:rPr>
          <w:rFonts w:eastAsiaTheme="minorEastAsia"/>
          <w:sz w:val="24"/>
        </w:rPr>
        <w:t xml:space="preserve">  药芯焊丝单盘重量由供需双方协商，宜采用5kg/盘的包装。</w:t>
      </w:r>
    </w:p>
    <w:p>
      <w:pPr>
        <w:pStyle w:val="87"/>
        <w:rPr>
          <w:rFonts w:ascii="Times New Roman" w:hAnsi="Times New Roman" w:eastAsiaTheme="minorEastAsia"/>
        </w:rPr>
      </w:pPr>
      <w:bookmarkStart w:id="8" w:name="_Toc131325326"/>
    </w:p>
    <w:p>
      <w:pPr>
        <w:pStyle w:val="87"/>
        <w:rPr>
          <w:rFonts w:ascii="黑体" w:hAnsi="黑体" w:eastAsia="黑体"/>
        </w:rPr>
      </w:pPr>
      <w:r>
        <w:rPr>
          <w:rFonts w:ascii="黑体" w:hAnsi="黑体" w:eastAsia="黑体"/>
        </w:rPr>
        <w:t>5  药芯焊丝</w:t>
      </w:r>
      <w:bookmarkEnd w:id="8"/>
    </w:p>
    <w:p>
      <w:pPr>
        <w:pStyle w:val="87"/>
        <w:rPr>
          <w:rFonts w:ascii="Times New Roman" w:hAnsi="Times New Roman" w:eastAsiaTheme="minorEastAsia"/>
          <w:b w:val="0"/>
        </w:rPr>
      </w:pPr>
      <w:bookmarkStart w:id="9" w:name="_Toc131325327"/>
      <w:r>
        <w:rPr>
          <w:rFonts w:ascii="Times New Roman" w:hAnsi="Times New Roman" w:eastAsiaTheme="minorEastAsia"/>
          <w:b w:val="0"/>
        </w:rPr>
        <w:t>5.1  一般规定</w:t>
      </w:r>
      <w:bookmarkEnd w:id="9"/>
    </w:p>
    <w:p>
      <w:pPr>
        <w:spacing w:line="360" w:lineRule="auto"/>
        <w:ind w:firstLine="480" w:firstLineChars="200"/>
        <w:jc w:val="left"/>
        <w:rPr>
          <w:rFonts w:eastAsiaTheme="minorEastAsia"/>
          <w:sz w:val="24"/>
        </w:rPr>
      </w:pPr>
      <w:r>
        <w:rPr>
          <w:rFonts w:eastAsiaTheme="minorEastAsia"/>
          <w:sz w:val="24"/>
        </w:rPr>
        <w:t>5.1.1  药芯焊丝应符合以下规定：</w:t>
      </w:r>
    </w:p>
    <w:p>
      <w:pPr>
        <w:pStyle w:val="84"/>
        <w:numPr>
          <w:ilvl w:val="0"/>
          <w:numId w:val="7"/>
        </w:numPr>
        <w:spacing w:line="360" w:lineRule="auto"/>
        <w:ind w:left="0" w:firstLine="420" w:firstLineChars="0"/>
        <w:jc w:val="left"/>
        <w:rPr>
          <w:rFonts w:eastAsiaTheme="minorEastAsia"/>
          <w:sz w:val="24"/>
        </w:rPr>
      </w:pPr>
      <w:r>
        <w:rPr>
          <w:rFonts w:eastAsiaTheme="minorEastAsia"/>
          <w:sz w:val="24"/>
        </w:rPr>
        <w:t>碳钢及低合金钢药芯焊丝应符合GB/T 10045的规定。</w:t>
      </w:r>
    </w:p>
    <w:p>
      <w:pPr>
        <w:pStyle w:val="84"/>
        <w:numPr>
          <w:ilvl w:val="0"/>
          <w:numId w:val="7"/>
        </w:numPr>
        <w:spacing w:line="360" w:lineRule="auto"/>
        <w:ind w:left="0" w:firstLine="420" w:firstLineChars="0"/>
        <w:jc w:val="left"/>
        <w:rPr>
          <w:rFonts w:eastAsiaTheme="minorEastAsia"/>
          <w:sz w:val="24"/>
        </w:rPr>
      </w:pPr>
      <w:r>
        <w:rPr>
          <w:rFonts w:eastAsiaTheme="minorEastAsia"/>
          <w:sz w:val="24"/>
        </w:rPr>
        <w:t>低合金耐热钢药芯焊丝应符合GB/T 17493的规定。</w:t>
      </w:r>
    </w:p>
    <w:p>
      <w:pPr>
        <w:pStyle w:val="84"/>
        <w:numPr>
          <w:ilvl w:val="0"/>
          <w:numId w:val="7"/>
        </w:numPr>
        <w:spacing w:line="360" w:lineRule="auto"/>
        <w:ind w:left="0" w:firstLine="420" w:firstLineChars="0"/>
        <w:jc w:val="left"/>
        <w:rPr>
          <w:rFonts w:eastAsiaTheme="minorEastAsia"/>
          <w:sz w:val="24"/>
        </w:rPr>
      </w:pPr>
      <w:r>
        <w:rPr>
          <w:rFonts w:eastAsiaTheme="minorEastAsia"/>
          <w:sz w:val="24"/>
        </w:rPr>
        <w:t>强度钢及高强度钢药芯焊丝应符合GB/T 36233的规定。</w:t>
      </w:r>
    </w:p>
    <w:p>
      <w:pPr>
        <w:pStyle w:val="84"/>
        <w:numPr>
          <w:ilvl w:val="0"/>
          <w:numId w:val="7"/>
        </w:numPr>
        <w:spacing w:line="360" w:lineRule="auto"/>
        <w:ind w:left="0" w:firstLine="420" w:firstLineChars="0"/>
        <w:jc w:val="left"/>
        <w:rPr>
          <w:rFonts w:eastAsiaTheme="minorEastAsia"/>
          <w:sz w:val="24"/>
        </w:rPr>
      </w:pPr>
      <w:r>
        <w:rPr>
          <w:rFonts w:eastAsiaTheme="minorEastAsia"/>
          <w:sz w:val="24"/>
        </w:rPr>
        <w:t>奥氏体不锈钢药芯焊丝应符合GB/T 17853的规定。</w:t>
      </w:r>
    </w:p>
    <w:p>
      <w:pPr>
        <w:spacing w:line="360" w:lineRule="auto"/>
        <w:ind w:firstLine="480" w:firstLineChars="200"/>
        <w:jc w:val="left"/>
        <w:rPr>
          <w:rFonts w:eastAsiaTheme="minorEastAsia"/>
          <w:sz w:val="24"/>
        </w:rPr>
      </w:pPr>
      <w:r>
        <w:rPr>
          <w:rFonts w:eastAsiaTheme="minorEastAsia"/>
          <w:sz w:val="24"/>
        </w:rPr>
        <w:t>5.1.2  国外牌号药芯焊丝应符合相应的标准和技术条件要求。国内外材料对照表见附录B。</w:t>
      </w:r>
    </w:p>
    <w:p>
      <w:pPr>
        <w:spacing w:line="360" w:lineRule="auto"/>
        <w:ind w:firstLine="480" w:firstLineChars="200"/>
        <w:jc w:val="left"/>
        <w:rPr>
          <w:rFonts w:eastAsiaTheme="minorEastAsia"/>
          <w:sz w:val="24"/>
        </w:rPr>
      </w:pPr>
      <w:r>
        <w:rPr>
          <w:rFonts w:eastAsiaTheme="minorEastAsia"/>
          <w:sz w:val="24"/>
        </w:rPr>
        <w:t>5.1.3  药芯焊丝应在订货技术协议中明确药芯焊丝类型、药芯填充均匀性，填充率±0.5%。</w:t>
      </w:r>
    </w:p>
    <w:p>
      <w:pPr>
        <w:spacing w:line="360" w:lineRule="auto"/>
        <w:ind w:firstLine="480" w:firstLineChars="200"/>
        <w:jc w:val="left"/>
        <w:rPr>
          <w:rFonts w:eastAsiaTheme="minorEastAsia"/>
          <w:sz w:val="24"/>
        </w:rPr>
      </w:pPr>
      <w:r>
        <w:rPr>
          <w:rFonts w:eastAsiaTheme="minorEastAsia"/>
          <w:sz w:val="24"/>
        </w:rPr>
        <w:t>5.1.4  当熔覆金属有低温冲击韧性、铁素体含量等要求时，药芯焊丝制造商应出具相应的</w:t>
      </w:r>
      <w:r>
        <w:rPr>
          <w:rFonts w:hint="eastAsia" w:eastAsiaTheme="minorEastAsia"/>
          <w:sz w:val="24"/>
        </w:rPr>
        <w:t>熔敷金属</w:t>
      </w:r>
      <w:r>
        <w:rPr>
          <w:rFonts w:eastAsiaTheme="minorEastAsia"/>
          <w:sz w:val="24"/>
        </w:rPr>
        <w:t>检测报告或证明文件。</w:t>
      </w:r>
    </w:p>
    <w:p>
      <w:pPr>
        <w:pStyle w:val="87"/>
        <w:rPr>
          <w:rFonts w:ascii="Times New Roman" w:hAnsi="Times New Roman" w:eastAsiaTheme="minorEastAsia"/>
          <w:b w:val="0"/>
        </w:rPr>
      </w:pPr>
      <w:bookmarkStart w:id="10" w:name="_Toc131325328"/>
      <w:r>
        <w:rPr>
          <w:rFonts w:ascii="Times New Roman" w:hAnsi="Times New Roman" w:eastAsiaTheme="minorEastAsia"/>
          <w:b w:val="0"/>
        </w:rPr>
        <w:t>5.2  扩散氢含量</w:t>
      </w:r>
      <w:bookmarkEnd w:id="10"/>
    </w:p>
    <w:p>
      <w:pPr>
        <w:spacing w:line="360" w:lineRule="auto"/>
        <w:ind w:firstLine="480" w:firstLineChars="200"/>
        <w:jc w:val="left"/>
        <w:rPr>
          <w:rFonts w:eastAsiaTheme="minorEastAsia"/>
          <w:sz w:val="24"/>
        </w:rPr>
      </w:pPr>
      <w:r>
        <w:rPr>
          <w:rFonts w:eastAsiaTheme="minorEastAsia"/>
          <w:sz w:val="24"/>
        </w:rPr>
        <w:t>5.2.1  药芯焊丝熔敷金属扩散氢含量应根据供需双方协商、且符合相应要求，应在外包装及使用说明书中注明熔敷金属扩散氢含量合格指标，储存、运输和使用注意事项</w:t>
      </w:r>
      <w:r>
        <w:rPr>
          <w:rFonts w:hint="eastAsia" w:eastAsiaTheme="minorEastAsia"/>
          <w:sz w:val="24"/>
        </w:rPr>
        <w:t>。</w:t>
      </w:r>
    </w:p>
    <w:p>
      <w:pPr>
        <w:spacing w:line="360" w:lineRule="auto"/>
        <w:ind w:firstLine="480" w:firstLineChars="200"/>
        <w:jc w:val="left"/>
        <w:rPr>
          <w:rFonts w:eastAsiaTheme="minorEastAsia"/>
          <w:sz w:val="24"/>
        </w:rPr>
      </w:pPr>
      <w:r>
        <w:rPr>
          <w:rFonts w:eastAsiaTheme="minorEastAsia"/>
          <w:sz w:val="24"/>
        </w:rPr>
        <w:t>5.2.3  药芯焊丝合格证明文件中熔敷金属扩散氢含量</w:t>
      </w:r>
      <w:r>
        <w:rPr>
          <w:rFonts w:hint="eastAsia" w:eastAsiaTheme="minorEastAsia"/>
          <w:sz w:val="24"/>
        </w:rPr>
        <w:t>控制参照NB</w:t>
      </w:r>
      <w:r>
        <w:rPr>
          <w:rFonts w:eastAsiaTheme="minorEastAsia"/>
          <w:sz w:val="24"/>
        </w:rPr>
        <w:t>/</w:t>
      </w:r>
      <w:r>
        <w:rPr>
          <w:rFonts w:hint="eastAsia" w:eastAsiaTheme="minorEastAsia"/>
          <w:sz w:val="24"/>
        </w:rPr>
        <w:t>T</w:t>
      </w:r>
      <w:r>
        <w:rPr>
          <w:rFonts w:eastAsiaTheme="minorEastAsia"/>
          <w:sz w:val="24"/>
        </w:rPr>
        <w:t>47018</w:t>
      </w:r>
      <w:r>
        <w:rPr>
          <w:rFonts w:hint="eastAsia" w:eastAsiaTheme="minorEastAsia"/>
          <w:sz w:val="24"/>
        </w:rPr>
        <w:t>中有关规定，</w:t>
      </w:r>
      <w:r>
        <w:rPr>
          <w:rFonts w:eastAsiaTheme="minorEastAsia"/>
          <w:sz w:val="24"/>
        </w:rPr>
        <w:t>参照表5.2.3，检测方法宜采用GB/T 3965。</w:t>
      </w:r>
    </w:p>
    <w:p>
      <w:pPr>
        <w:spacing w:line="320" w:lineRule="exact"/>
        <w:jc w:val="center"/>
        <w:rPr>
          <w:rFonts w:eastAsiaTheme="minorEastAsia"/>
          <w:color w:val="FF0000"/>
          <w:szCs w:val="21"/>
        </w:rPr>
      </w:pPr>
      <w:r>
        <w:rPr>
          <w:rFonts w:eastAsiaTheme="minorEastAsia"/>
          <w:szCs w:val="21"/>
        </w:rPr>
        <w:t>表5.2.3  药芯焊丝熔敷金属扩散氢含量（参照NB/T 47018）</w:t>
      </w:r>
    </w:p>
    <w:tbl>
      <w:tblPr>
        <w:tblStyle w:val="31"/>
        <w:tblpPr w:leftFromText="180" w:rightFromText="180" w:vertAnchor="text" w:horzAnchor="margin" w:tblpY="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Merge w:val="restart"/>
            <w:vAlign w:val="center"/>
          </w:tcPr>
          <w:p>
            <w:pPr>
              <w:spacing w:line="320" w:lineRule="exact"/>
              <w:jc w:val="center"/>
              <w:rPr>
                <w:rFonts w:eastAsiaTheme="minorEastAsia"/>
                <w:color w:val="FF0000"/>
                <w:kern w:val="0"/>
                <w:sz w:val="21"/>
                <w:szCs w:val="21"/>
              </w:rPr>
            </w:pPr>
            <w:r>
              <w:rPr>
                <w:rFonts w:eastAsiaTheme="minorEastAsia"/>
                <w:color w:val="FF0000"/>
                <w:kern w:val="0"/>
                <w:sz w:val="21"/>
                <w:szCs w:val="21"/>
              </w:rPr>
              <w:t>焊材型号</w:t>
            </w:r>
          </w:p>
        </w:tc>
        <w:tc>
          <w:tcPr>
            <w:tcW w:w="2268" w:type="dxa"/>
          </w:tcPr>
          <w:p>
            <w:pPr>
              <w:spacing w:line="320" w:lineRule="exact"/>
              <w:jc w:val="center"/>
              <w:rPr>
                <w:rFonts w:eastAsiaTheme="minorEastAsia"/>
                <w:kern w:val="0"/>
                <w:sz w:val="21"/>
                <w:szCs w:val="21"/>
              </w:rPr>
            </w:pPr>
            <w:r>
              <w:rPr>
                <w:rFonts w:eastAsiaTheme="minorEastAsia"/>
                <w:kern w:val="0"/>
                <w:sz w:val="21"/>
                <w:szCs w:val="21"/>
              </w:rPr>
              <w:t>扩散氢代号</w:t>
            </w:r>
          </w:p>
        </w:tc>
        <w:tc>
          <w:tcPr>
            <w:tcW w:w="2835" w:type="dxa"/>
          </w:tcPr>
          <w:p>
            <w:pPr>
              <w:spacing w:line="320" w:lineRule="exact"/>
              <w:jc w:val="center"/>
              <w:rPr>
                <w:rFonts w:eastAsiaTheme="minorEastAsia"/>
                <w:kern w:val="0"/>
                <w:sz w:val="21"/>
                <w:szCs w:val="21"/>
              </w:rPr>
            </w:pPr>
            <w:r>
              <w:rPr>
                <w:rFonts w:eastAsiaTheme="minorEastAsia"/>
                <w:kern w:val="0"/>
                <w:sz w:val="21"/>
                <w:szCs w:val="21"/>
              </w:rPr>
              <w:t>扩散氢含量mL/100g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Merge w:val="continue"/>
            <w:vAlign w:val="center"/>
          </w:tcPr>
          <w:p>
            <w:pPr>
              <w:spacing w:line="320" w:lineRule="exact"/>
              <w:jc w:val="center"/>
              <w:rPr>
                <w:rFonts w:eastAsiaTheme="minorEastAsia"/>
                <w:color w:val="FF0000"/>
                <w:kern w:val="0"/>
                <w:sz w:val="21"/>
                <w:szCs w:val="21"/>
              </w:rPr>
            </w:pPr>
          </w:p>
        </w:tc>
        <w:tc>
          <w:tcPr>
            <w:tcW w:w="5103" w:type="dxa"/>
            <w:gridSpan w:val="2"/>
          </w:tcPr>
          <w:p>
            <w:pPr>
              <w:spacing w:line="320" w:lineRule="exact"/>
              <w:jc w:val="center"/>
              <w:rPr>
                <w:rFonts w:eastAsiaTheme="minorEastAsia"/>
                <w:kern w:val="0"/>
                <w:sz w:val="21"/>
                <w:szCs w:val="21"/>
              </w:rPr>
            </w:pPr>
            <w:r>
              <w:rPr>
                <w:rFonts w:eastAsiaTheme="minorEastAsia"/>
                <w:kern w:val="0"/>
                <w:sz w:val="21"/>
                <w:szCs w:val="21"/>
              </w:rPr>
              <w:t>（水银法或热导法）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r>
              <w:rPr>
                <w:rFonts w:eastAsiaTheme="minorEastAsia"/>
                <w:color w:val="FF0000"/>
                <w:kern w:val="0"/>
                <w:sz w:val="21"/>
                <w:szCs w:val="21"/>
              </w:rPr>
              <w:t>E66XX-X E60XX-X E59XX-X</w:t>
            </w: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H5</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r>
              <w:rPr>
                <w:rFonts w:eastAsiaTheme="minorEastAsia"/>
                <w:color w:val="FF0000"/>
                <w:kern w:val="0"/>
                <w:sz w:val="21"/>
                <w:szCs w:val="21"/>
              </w:rPr>
              <w:t>E55XX-X</w:t>
            </w: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H6</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r>
              <w:rPr>
                <w:rFonts w:eastAsiaTheme="minorEastAsia"/>
                <w:color w:val="FF0000"/>
                <w:kern w:val="0"/>
                <w:sz w:val="21"/>
                <w:szCs w:val="21"/>
              </w:rPr>
              <w:t>50XX-X E52XX-X</w:t>
            </w: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H7</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r>
              <w:rPr>
                <w:rFonts w:eastAsiaTheme="minorEastAsia"/>
                <w:color w:val="FF0000"/>
                <w:kern w:val="0"/>
                <w:sz w:val="21"/>
                <w:szCs w:val="21"/>
              </w:rPr>
              <w:t>E43XX</w:t>
            </w: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H8</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H10</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spacing w:line="320" w:lineRule="exact"/>
              <w:jc w:val="center"/>
              <w:rPr>
                <w:rFonts w:eastAsiaTheme="minorEastAsia"/>
                <w:color w:val="FF0000"/>
                <w:kern w:val="0"/>
                <w:sz w:val="21"/>
                <w:szCs w:val="21"/>
              </w:rPr>
            </w:pPr>
          </w:p>
        </w:tc>
        <w:tc>
          <w:tcPr>
            <w:tcW w:w="2268" w:type="dxa"/>
            <w:vAlign w:val="center"/>
          </w:tcPr>
          <w:p>
            <w:pPr>
              <w:spacing w:line="320" w:lineRule="exact"/>
              <w:jc w:val="center"/>
              <w:rPr>
                <w:rFonts w:eastAsiaTheme="minorEastAsia"/>
                <w:kern w:val="0"/>
                <w:sz w:val="21"/>
                <w:szCs w:val="21"/>
              </w:rPr>
            </w:pPr>
            <w:r>
              <w:rPr>
                <w:rFonts w:eastAsiaTheme="minorEastAsia"/>
                <w:kern w:val="0"/>
                <w:sz w:val="21"/>
                <w:szCs w:val="21"/>
              </w:rPr>
              <w:t>H15</w:t>
            </w:r>
          </w:p>
        </w:tc>
        <w:tc>
          <w:tcPr>
            <w:tcW w:w="2835" w:type="dxa"/>
            <w:vAlign w:val="center"/>
          </w:tcPr>
          <w:p>
            <w:pPr>
              <w:spacing w:line="320" w:lineRule="exact"/>
              <w:jc w:val="center"/>
              <w:rPr>
                <w:rFonts w:eastAsiaTheme="minorEastAsia"/>
                <w:kern w:val="0"/>
                <w:sz w:val="21"/>
                <w:szCs w:val="21"/>
              </w:rPr>
            </w:pPr>
            <w:r>
              <w:rPr>
                <w:rFonts w:eastAsiaTheme="minorEastAsia"/>
                <w:kern w:val="0"/>
                <w:sz w:val="21"/>
                <w:szCs w:val="21"/>
              </w:rPr>
              <w:t>≤15</w:t>
            </w:r>
          </w:p>
        </w:tc>
      </w:tr>
    </w:tbl>
    <w:p>
      <w:pPr>
        <w:spacing w:line="320" w:lineRule="exact"/>
        <w:jc w:val="left"/>
        <w:rPr>
          <w:rFonts w:cs="宋体" w:asciiTheme="minorEastAsia" w:hAnsiTheme="minorEastAsia" w:eastAsiaTheme="minorEastAsia"/>
          <w:color w:val="FF0000"/>
          <w:szCs w:val="21"/>
          <w:highlight w:val="cyan"/>
        </w:rPr>
      </w:pPr>
    </w:p>
    <w:p>
      <w:pPr>
        <w:spacing w:line="360" w:lineRule="auto"/>
        <w:ind w:firstLine="480" w:firstLineChars="200"/>
        <w:rPr>
          <w:rFonts w:eastAsiaTheme="minorEastAsia"/>
          <w:sz w:val="24"/>
        </w:rPr>
      </w:pPr>
      <w:r>
        <w:rPr>
          <w:rFonts w:eastAsiaTheme="minorEastAsia"/>
          <w:sz w:val="24"/>
        </w:rPr>
        <w:t>5.2.4  含铬量为0.5%≤Cr≤2%的Cr-Mo热强钢，或设计温度低于-40℃低温钢管道焊接，药芯焊丝熔敷金属扩散氢含量应不大于H5。</w:t>
      </w:r>
    </w:p>
    <w:p>
      <w:pPr>
        <w:spacing w:line="360" w:lineRule="auto"/>
        <w:ind w:firstLine="480" w:firstLineChars="200"/>
        <w:rPr>
          <w:rFonts w:eastAsiaTheme="minorEastAsia"/>
          <w:sz w:val="24"/>
        </w:rPr>
      </w:pPr>
      <w:r>
        <w:rPr>
          <w:rFonts w:eastAsiaTheme="minorEastAsia"/>
          <w:sz w:val="24"/>
        </w:rPr>
        <w:t>5.2.5 如果需方对熔敷金属扩散氢含量有特殊要求，供方应满足，并做好相关试验和合格标识。</w:t>
      </w:r>
    </w:p>
    <w:p>
      <w:pPr>
        <w:pStyle w:val="87"/>
        <w:jc w:val="both"/>
        <w:rPr>
          <w:rFonts w:ascii="Times New Roman" w:hAnsi="Times New Roman" w:eastAsiaTheme="minorEastAsia"/>
          <w:b w:val="0"/>
        </w:rPr>
      </w:pPr>
      <w:bookmarkStart w:id="11" w:name="_Toc131325329"/>
      <w:r>
        <w:rPr>
          <w:rFonts w:ascii="Times New Roman" w:hAnsi="Times New Roman" w:eastAsiaTheme="minorEastAsia"/>
          <w:b w:val="0"/>
        </w:rPr>
        <w:t>5.3  焊丝验收</w:t>
      </w:r>
      <w:bookmarkEnd w:id="11"/>
      <w:r>
        <w:rPr>
          <w:rFonts w:ascii="Times New Roman" w:hAnsi="Times New Roman" w:eastAsiaTheme="minorEastAsia"/>
          <w:b w:val="0"/>
        </w:rPr>
        <w:t xml:space="preserve">  </w:t>
      </w:r>
    </w:p>
    <w:p>
      <w:pPr>
        <w:spacing w:line="360" w:lineRule="auto"/>
        <w:ind w:firstLine="480" w:firstLineChars="200"/>
        <w:rPr>
          <w:rFonts w:eastAsiaTheme="minorEastAsia"/>
          <w:sz w:val="24"/>
        </w:rPr>
      </w:pPr>
      <w:r>
        <w:rPr>
          <w:rFonts w:eastAsiaTheme="minorEastAsia"/>
          <w:sz w:val="24"/>
        </w:rPr>
        <w:t>5.3.1  药芯焊丝质量证明文件，应符合4、5.1、5.2中的相应规定。质量证明文件中应有化学成分、拉伸试验、冲击试验、弯曲试验、射线检测、熔敷金属扩散氢含量等指标。</w:t>
      </w:r>
    </w:p>
    <w:p>
      <w:pPr>
        <w:spacing w:line="360" w:lineRule="auto"/>
        <w:ind w:firstLine="480" w:firstLineChars="200"/>
        <w:rPr>
          <w:rFonts w:eastAsiaTheme="minorEastAsia"/>
          <w:sz w:val="24"/>
        </w:rPr>
      </w:pPr>
      <w:r>
        <w:rPr>
          <w:rFonts w:eastAsiaTheme="minorEastAsia"/>
          <w:sz w:val="24"/>
        </w:rPr>
        <w:t>5.3.2  药芯焊丝表面应光滑，无毛刺、凹坑</w:t>
      </w:r>
      <w:r>
        <w:rPr>
          <w:rFonts w:hint="eastAsia" w:eastAsiaTheme="minorEastAsia"/>
          <w:sz w:val="24"/>
        </w:rPr>
        <w:t>凸起</w:t>
      </w:r>
      <w:r>
        <w:rPr>
          <w:rFonts w:eastAsiaTheme="minorEastAsia"/>
          <w:sz w:val="24"/>
        </w:rPr>
        <w:t>、划痕、锈蚀、氧化皮和油污等缺陷，也不应有其他不利于焊接操作和影响熔覆金属质量的杂质。</w:t>
      </w:r>
    </w:p>
    <w:p>
      <w:pPr>
        <w:spacing w:line="360" w:lineRule="auto"/>
        <w:ind w:firstLine="480" w:firstLineChars="200"/>
        <w:rPr>
          <w:rFonts w:eastAsiaTheme="minorEastAsia"/>
          <w:sz w:val="24"/>
        </w:rPr>
      </w:pPr>
      <w:r>
        <w:rPr>
          <w:rFonts w:eastAsiaTheme="minorEastAsia"/>
          <w:sz w:val="24"/>
        </w:rPr>
        <w:t>5.3.3  药芯焊丝接头应光滑，保证均匀送丝。缠绕的焊丝应适用于在自动焊和机动焊机上连续送丝。</w:t>
      </w:r>
    </w:p>
    <w:p>
      <w:pPr>
        <w:spacing w:line="360" w:lineRule="auto"/>
        <w:ind w:firstLine="480" w:firstLineChars="200"/>
        <w:rPr>
          <w:rFonts w:eastAsiaTheme="minorEastAsia"/>
          <w:sz w:val="24"/>
        </w:rPr>
      </w:pPr>
      <w:r>
        <w:rPr>
          <w:rFonts w:eastAsiaTheme="minorEastAsia"/>
          <w:sz w:val="24"/>
        </w:rPr>
        <w:t>5.3.4  当技术条件有要求，或对药芯焊丝质量有疑义时，应按照技术条件及制造标准要求进行相应的复验。</w:t>
      </w:r>
    </w:p>
    <w:p>
      <w:pPr>
        <w:spacing w:line="360" w:lineRule="auto"/>
        <w:ind w:firstLine="480" w:firstLineChars="200"/>
        <w:rPr>
          <w:rFonts w:eastAsiaTheme="minorEastAsia"/>
          <w:sz w:val="24"/>
        </w:rPr>
      </w:pPr>
      <w:r>
        <w:rPr>
          <w:rFonts w:eastAsiaTheme="minorEastAsia"/>
          <w:sz w:val="24"/>
        </w:rPr>
        <w:t>5.3.5  药芯焊丝外包装及使用说明书中，应注明可使用的焊接位置、保护气体等关键</w:t>
      </w:r>
      <w:r>
        <w:rPr>
          <w:rFonts w:hint="eastAsia" w:eastAsiaTheme="minorEastAsia"/>
          <w:sz w:val="24"/>
        </w:rPr>
        <w:t>工艺条件</w:t>
      </w:r>
      <w:r>
        <w:rPr>
          <w:rFonts w:eastAsiaTheme="minorEastAsia"/>
          <w:sz w:val="24"/>
        </w:rPr>
        <w:t>。当熔滴过渡形式对焊接工艺质量有明显影响时，也应在焊丝外包装或使用说明书中进行标注。</w:t>
      </w:r>
    </w:p>
    <w:p>
      <w:pPr>
        <w:pStyle w:val="87"/>
        <w:jc w:val="both"/>
        <w:rPr>
          <w:rFonts w:ascii="Times New Roman" w:hAnsi="Times New Roman" w:eastAsiaTheme="minorEastAsia"/>
          <w:b w:val="0"/>
        </w:rPr>
      </w:pPr>
      <w:bookmarkStart w:id="12" w:name="_Toc131325330"/>
      <w:r>
        <w:rPr>
          <w:rFonts w:ascii="Times New Roman" w:hAnsi="Times New Roman" w:eastAsiaTheme="minorEastAsia"/>
          <w:b w:val="0"/>
        </w:rPr>
        <w:t>5.4  药芯焊丝储存、保管</w:t>
      </w:r>
      <w:bookmarkEnd w:id="12"/>
      <w:r>
        <w:rPr>
          <w:rFonts w:ascii="Times New Roman" w:hAnsi="Times New Roman" w:eastAsiaTheme="minorEastAsia"/>
          <w:b w:val="0"/>
        </w:rPr>
        <w:t xml:space="preserve"> </w:t>
      </w:r>
    </w:p>
    <w:p>
      <w:pPr>
        <w:spacing w:line="360" w:lineRule="auto"/>
        <w:ind w:firstLine="480" w:firstLineChars="200"/>
        <w:rPr>
          <w:rFonts w:eastAsiaTheme="minorEastAsia"/>
          <w:sz w:val="24"/>
        </w:rPr>
      </w:pPr>
      <w:r>
        <w:rPr>
          <w:rFonts w:eastAsiaTheme="minorEastAsia"/>
          <w:sz w:val="24"/>
        </w:rPr>
        <w:t>5.4.1  药芯焊丝存储、保管应符合JB/T 3223的规定。</w:t>
      </w:r>
    </w:p>
    <w:p>
      <w:pPr>
        <w:spacing w:line="360" w:lineRule="auto"/>
        <w:ind w:firstLine="480" w:firstLineChars="200"/>
        <w:rPr>
          <w:rFonts w:eastAsiaTheme="minorEastAsia"/>
          <w:sz w:val="24"/>
        </w:rPr>
      </w:pPr>
      <w:r>
        <w:rPr>
          <w:rFonts w:eastAsiaTheme="minorEastAsia"/>
          <w:sz w:val="24"/>
        </w:rPr>
        <w:t>5.4.2  药芯焊丝库存的规定期限应在焊接材料质量证明书或说明书上注明。</w:t>
      </w:r>
    </w:p>
    <w:p>
      <w:pPr>
        <w:spacing w:line="360" w:lineRule="auto"/>
        <w:ind w:firstLine="480" w:firstLineChars="200"/>
        <w:rPr>
          <w:rFonts w:eastAsiaTheme="minorEastAsia"/>
          <w:sz w:val="24"/>
        </w:rPr>
      </w:pPr>
      <w:r>
        <w:rPr>
          <w:rFonts w:eastAsiaTheme="minorEastAsia"/>
          <w:sz w:val="24"/>
        </w:rPr>
        <w:t>5.4.3  药芯焊丝拆封前，应检查真空包装不得有破损。</w:t>
      </w:r>
    </w:p>
    <w:p>
      <w:pPr>
        <w:spacing w:line="360" w:lineRule="auto"/>
        <w:ind w:firstLine="480" w:firstLineChars="200"/>
        <w:rPr>
          <w:rFonts w:eastAsiaTheme="minorEastAsia"/>
          <w:sz w:val="24"/>
        </w:rPr>
      </w:pPr>
      <w:r>
        <w:rPr>
          <w:rFonts w:eastAsiaTheme="minorEastAsia"/>
          <w:sz w:val="24"/>
        </w:rPr>
        <w:t>5.4.4  出现以下异常情况时，药芯焊丝应经综合研判后再决定能否用于管道的焊接：</w:t>
      </w:r>
    </w:p>
    <w:p>
      <w:pPr>
        <w:spacing w:line="360" w:lineRule="auto"/>
        <w:rPr>
          <w:rFonts w:eastAsiaTheme="minorEastAsia"/>
          <w:sz w:val="24"/>
        </w:rPr>
      </w:pPr>
      <w:r>
        <w:rPr>
          <w:rFonts w:eastAsiaTheme="minorEastAsia"/>
          <w:sz w:val="24"/>
        </w:rPr>
        <w:t xml:space="preserve">       a）拆封前包装破损；</w:t>
      </w:r>
    </w:p>
    <w:p>
      <w:pPr>
        <w:spacing w:line="360" w:lineRule="auto"/>
        <w:rPr>
          <w:rFonts w:eastAsiaTheme="minorEastAsia"/>
          <w:sz w:val="24"/>
        </w:rPr>
      </w:pPr>
      <w:r>
        <w:rPr>
          <w:rFonts w:eastAsiaTheme="minorEastAsia"/>
          <w:sz w:val="24"/>
        </w:rPr>
        <w:t xml:space="preserve">       b）焊丝表面有锈迹；</w:t>
      </w:r>
    </w:p>
    <w:p>
      <w:pPr>
        <w:spacing w:line="360" w:lineRule="auto"/>
        <w:rPr>
          <w:rFonts w:eastAsiaTheme="minorEastAsia"/>
          <w:sz w:val="24"/>
        </w:rPr>
      </w:pPr>
      <w:r>
        <w:rPr>
          <w:rFonts w:eastAsiaTheme="minorEastAsia"/>
          <w:sz w:val="24"/>
        </w:rPr>
        <w:t xml:space="preserve">       c）其他保存不当而出现影响焊接质量的缺陷；</w:t>
      </w:r>
    </w:p>
    <w:p>
      <w:pPr>
        <w:spacing w:line="360" w:lineRule="auto"/>
        <w:rPr>
          <w:rFonts w:eastAsiaTheme="minorEastAsia"/>
          <w:sz w:val="24"/>
        </w:rPr>
      </w:pPr>
      <w:r>
        <w:rPr>
          <w:rFonts w:eastAsiaTheme="minorEastAsia"/>
          <w:sz w:val="24"/>
        </w:rPr>
        <w:t xml:space="preserve">       d）超过焊丝质量证明文件或说明书注明的使用期限。</w:t>
      </w:r>
    </w:p>
    <w:p>
      <w:pPr>
        <w:pStyle w:val="87"/>
        <w:jc w:val="both"/>
        <w:rPr>
          <w:rFonts w:ascii="Times New Roman" w:hAnsi="Times New Roman" w:eastAsiaTheme="minorEastAsia"/>
          <w:b w:val="0"/>
        </w:rPr>
      </w:pPr>
      <w:bookmarkStart w:id="13" w:name="_Toc131325331"/>
      <w:r>
        <w:rPr>
          <w:rFonts w:ascii="Times New Roman" w:hAnsi="Times New Roman" w:eastAsiaTheme="minorEastAsia"/>
          <w:b w:val="0"/>
        </w:rPr>
        <w:t>5.5  焊丝使用过程管理</w:t>
      </w:r>
      <w:bookmarkEnd w:id="13"/>
    </w:p>
    <w:p>
      <w:pPr>
        <w:spacing w:line="360" w:lineRule="auto"/>
        <w:ind w:firstLine="480" w:firstLineChars="200"/>
        <w:rPr>
          <w:rFonts w:eastAsiaTheme="minorEastAsia"/>
          <w:sz w:val="24"/>
        </w:rPr>
      </w:pPr>
      <w:r>
        <w:rPr>
          <w:rFonts w:eastAsiaTheme="minorEastAsia"/>
          <w:sz w:val="24"/>
        </w:rPr>
        <w:t xml:space="preserve">5.5.1  焊丝在使用前应核对其材质、牌号和规格。   </w:t>
      </w:r>
    </w:p>
    <w:p>
      <w:pPr>
        <w:spacing w:line="360" w:lineRule="auto"/>
        <w:ind w:firstLine="480" w:firstLineChars="200"/>
        <w:rPr>
          <w:rFonts w:eastAsiaTheme="minorEastAsia"/>
          <w:sz w:val="24"/>
        </w:rPr>
      </w:pPr>
      <w:r>
        <w:rPr>
          <w:rFonts w:eastAsiaTheme="minorEastAsia"/>
          <w:sz w:val="24"/>
        </w:rPr>
        <w:t>5.5.2  药芯焊丝宜使用带隔离防护外壳的送丝机设备，使用过程中应防止砂轮打磨、粉尘对焊丝表面造成污染。</w:t>
      </w:r>
    </w:p>
    <w:p>
      <w:pPr>
        <w:spacing w:line="360" w:lineRule="auto"/>
        <w:ind w:firstLine="480" w:firstLineChars="200"/>
        <w:rPr>
          <w:rFonts w:eastAsiaTheme="minorEastAsia"/>
          <w:sz w:val="24"/>
        </w:rPr>
      </w:pPr>
      <w:r>
        <w:rPr>
          <w:rFonts w:eastAsiaTheme="minorEastAsia"/>
          <w:sz w:val="24"/>
        </w:rPr>
        <w:t>5.5.3  药芯焊丝使用过程中保持表面洁净、干燥，宜在8小时内使用完；当湿度≥80%的天气环境下，宜4小时内使用完。</w:t>
      </w:r>
    </w:p>
    <w:p>
      <w:pPr>
        <w:spacing w:line="360" w:lineRule="auto"/>
        <w:ind w:firstLine="480" w:firstLineChars="200"/>
        <w:rPr>
          <w:rFonts w:eastAsiaTheme="minorEastAsia"/>
          <w:sz w:val="24"/>
        </w:rPr>
      </w:pPr>
      <w:r>
        <w:rPr>
          <w:rFonts w:eastAsiaTheme="minorEastAsia"/>
          <w:sz w:val="24"/>
        </w:rPr>
        <w:t>5.5.4  未用完的焊丝宜采用真空抽塑、加干燥剂等措施进行保存。</w:t>
      </w:r>
    </w:p>
    <w:p>
      <w:pPr>
        <w:spacing w:line="360" w:lineRule="auto"/>
        <w:ind w:firstLine="480" w:firstLineChars="200"/>
        <w:rPr>
          <w:rFonts w:eastAsiaTheme="minorEastAsia"/>
          <w:sz w:val="24"/>
        </w:rPr>
      </w:pPr>
      <w:r>
        <w:rPr>
          <w:rFonts w:eastAsiaTheme="minorEastAsia"/>
          <w:sz w:val="24"/>
        </w:rPr>
        <w:t xml:space="preserve">5.5.5  药芯焊丝回收入库时应保证焊丝型号/牌号、批号、规格、回收数量、时间等内容信息完整，内容缺失时应及时进行标识移植。 </w:t>
      </w:r>
    </w:p>
    <w:p>
      <w:pPr>
        <w:spacing w:line="360" w:lineRule="auto"/>
        <w:ind w:firstLine="480" w:firstLineChars="200"/>
        <w:rPr>
          <w:rFonts w:eastAsiaTheme="minorEastAsia"/>
          <w:sz w:val="24"/>
        </w:rPr>
      </w:pPr>
    </w:p>
    <w:p>
      <w:pPr>
        <w:pStyle w:val="87"/>
        <w:rPr>
          <w:rFonts w:ascii="黑体" w:hAnsi="黑体" w:eastAsia="黑体"/>
        </w:rPr>
      </w:pPr>
      <w:bookmarkStart w:id="14" w:name="_Toc131325332"/>
      <w:r>
        <w:rPr>
          <w:rFonts w:ascii="黑体" w:hAnsi="黑体" w:eastAsia="黑体"/>
        </w:rPr>
        <w:t>6  焊接保护气体</w:t>
      </w:r>
      <w:bookmarkEnd w:id="14"/>
      <w:r>
        <w:rPr>
          <w:rFonts w:ascii="黑体" w:hAnsi="黑体" w:eastAsia="黑体"/>
        </w:rPr>
        <w:t xml:space="preserve"> </w:t>
      </w:r>
    </w:p>
    <w:p>
      <w:pPr>
        <w:spacing w:line="360" w:lineRule="auto"/>
        <w:rPr>
          <w:rFonts w:eastAsiaTheme="minorEastAsia"/>
          <w:sz w:val="24"/>
        </w:rPr>
      </w:pPr>
      <w:r>
        <w:rPr>
          <w:rFonts w:eastAsiaTheme="minorEastAsia"/>
          <w:sz w:val="24"/>
        </w:rPr>
        <w:t>6.1  药芯焊丝气体保护焊应明确采用的保护气体类型为基本气体、混合气体或其他形式。</w:t>
      </w:r>
    </w:p>
    <w:p>
      <w:pPr>
        <w:spacing w:line="360" w:lineRule="auto"/>
        <w:rPr>
          <w:rFonts w:eastAsiaTheme="minorEastAsia"/>
          <w:sz w:val="24"/>
        </w:rPr>
      </w:pPr>
      <w:r>
        <w:rPr>
          <w:rFonts w:eastAsiaTheme="minorEastAsia"/>
          <w:sz w:val="24"/>
        </w:rPr>
        <w:t>6.2  焊接保护用氩气、氦气应符合GB/T 39255的规定，纯度不应低于99.99%，当瓶内压力低于0.5MPa时，应停止使用。</w:t>
      </w:r>
    </w:p>
    <w:p>
      <w:pPr>
        <w:spacing w:line="360" w:lineRule="auto"/>
        <w:rPr>
          <w:rFonts w:eastAsiaTheme="minorEastAsia"/>
          <w:sz w:val="24"/>
        </w:rPr>
      </w:pPr>
      <w:r>
        <w:rPr>
          <w:rFonts w:eastAsiaTheme="minorEastAsia"/>
          <w:sz w:val="24"/>
        </w:rPr>
        <w:t>6.3  焊接保护用二氧化碳气体应符合GB/T 39255的规定，二氧化碳气体纯度不应低于99.8%，水分含量不应大于120×10</w:t>
      </w:r>
      <w:r>
        <w:rPr>
          <w:rFonts w:eastAsiaTheme="minorEastAsia"/>
          <w:sz w:val="24"/>
          <w:vertAlign w:val="superscript"/>
        </w:rPr>
        <w:t>-6</w:t>
      </w:r>
      <w:r>
        <w:rPr>
          <w:rFonts w:eastAsiaTheme="minorEastAsia"/>
          <w:sz w:val="24"/>
        </w:rPr>
        <w:t>（体积分数），使用前应预热和干燥。当瓶内压力低于0.98MPa时，应停止使用。</w:t>
      </w:r>
    </w:p>
    <w:p>
      <w:pPr>
        <w:spacing w:line="360" w:lineRule="auto"/>
        <w:rPr>
          <w:rFonts w:eastAsiaTheme="minorEastAsia"/>
          <w:sz w:val="24"/>
        </w:rPr>
      </w:pPr>
      <w:r>
        <w:rPr>
          <w:rFonts w:eastAsiaTheme="minorEastAsia"/>
          <w:sz w:val="24"/>
        </w:rPr>
        <w:t>6.4  焊接保护用混合气体应符合焊丝合格证中混合比例的要求，且应符合GB/T 39255的规定，可采用瓶装成品气，也可采用气体配比器进行混合。</w:t>
      </w:r>
    </w:p>
    <w:p>
      <w:pPr>
        <w:spacing w:line="360" w:lineRule="auto"/>
        <w:rPr>
          <w:rFonts w:eastAsiaTheme="minorEastAsia"/>
          <w:sz w:val="24"/>
        </w:rPr>
      </w:pPr>
    </w:p>
    <w:p>
      <w:pPr>
        <w:pStyle w:val="87"/>
        <w:rPr>
          <w:rFonts w:ascii="黑体" w:hAnsi="黑体" w:eastAsia="黑体"/>
        </w:rPr>
      </w:pPr>
      <w:bookmarkStart w:id="15" w:name="_Toc131325333"/>
      <w:r>
        <w:rPr>
          <w:rFonts w:ascii="黑体" w:hAnsi="黑体" w:eastAsia="黑体"/>
        </w:rPr>
        <w:t>7  焊工</w:t>
      </w:r>
      <w:bookmarkEnd w:id="15"/>
    </w:p>
    <w:p>
      <w:pPr>
        <w:spacing w:line="360" w:lineRule="auto"/>
        <w:rPr>
          <w:rFonts w:eastAsiaTheme="minorEastAsia"/>
          <w:sz w:val="24"/>
        </w:rPr>
      </w:pPr>
      <w:r>
        <w:rPr>
          <w:rFonts w:eastAsiaTheme="minorEastAsia"/>
          <w:sz w:val="24"/>
        </w:rPr>
        <w:t>7.1  药芯焊丝熔化极气体保护焊接操作人员，焊接前应经过培训或考核，熟悉焊接材料、焊接设备、焊接工艺。</w:t>
      </w:r>
    </w:p>
    <w:p>
      <w:pPr>
        <w:spacing w:line="360" w:lineRule="auto"/>
        <w:rPr>
          <w:rFonts w:eastAsiaTheme="minorEastAsia"/>
          <w:sz w:val="24"/>
        </w:rPr>
      </w:pPr>
      <w:r>
        <w:rPr>
          <w:rFonts w:eastAsiaTheme="minorEastAsia"/>
          <w:sz w:val="24"/>
        </w:rPr>
        <w:t>7.2  从事钢制压力管道药芯焊丝熔化极气保焊焊接工作的焊接操作人员应按照TSG Z6002的规定，取得GMAW或FCAW焊接方法的操作资格。</w:t>
      </w:r>
    </w:p>
    <w:p>
      <w:pPr>
        <w:spacing w:line="360" w:lineRule="auto"/>
        <w:rPr>
          <w:rFonts w:eastAsiaTheme="minorEastAsia"/>
          <w:sz w:val="24"/>
        </w:rPr>
      </w:pPr>
    </w:p>
    <w:p>
      <w:pPr>
        <w:pStyle w:val="87"/>
        <w:rPr>
          <w:rFonts w:ascii="黑体" w:hAnsi="黑体" w:eastAsia="黑体"/>
        </w:rPr>
      </w:pPr>
      <w:bookmarkStart w:id="16" w:name="_Toc131325334"/>
      <w:r>
        <w:rPr>
          <w:rFonts w:ascii="黑体" w:hAnsi="黑体" w:eastAsia="黑体"/>
        </w:rPr>
        <w:t>8   焊接工艺评定及焊接工艺规程</w:t>
      </w:r>
      <w:bookmarkEnd w:id="16"/>
    </w:p>
    <w:p>
      <w:pPr>
        <w:pStyle w:val="87"/>
        <w:jc w:val="both"/>
        <w:rPr>
          <w:rFonts w:ascii="Times New Roman" w:hAnsi="Times New Roman" w:eastAsiaTheme="minorEastAsia"/>
          <w:b w:val="0"/>
        </w:rPr>
      </w:pPr>
      <w:bookmarkStart w:id="17" w:name="_Toc131325335"/>
      <w:r>
        <w:rPr>
          <w:rFonts w:ascii="Times New Roman" w:hAnsi="Times New Roman" w:eastAsiaTheme="minorEastAsia"/>
          <w:b w:val="0"/>
        </w:rPr>
        <w:t>8.1  焊接工艺评定</w:t>
      </w:r>
      <w:bookmarkEnd w:id="17"/>
    </w:p>
    <w:p>
      <w:pPr>
        <w:spacing w:line="360" w:lineRule="auto"/>
        <w:ind w:firstLine="480" w:firstLineChars="200"/>
        <w:rPr>
          <w:rFonts w:eastAsiaTheme="minorEastAsia"/>
          <w:sz w:val="24"/>
        </w:rPr>
      </w:pPr>
      <w:r>
        <w:rPr>
          <w:rFonts w:eastAsiaTheme="minorEastAsia"/>
          <w:sz w:val="24"/>
        </w:rPr>
        <w:t>8.1.1  钢制管道药芯焊丝熔化极气体保护焊焊接前应进行焊接工艺评定。</w:t>
      </w:r>
    </w:p>
    <w:p>
      <w:pPr>
        <w:spacing w:line="360" w:lineRule="auto"/>
        <w:ind w:firstLine="480" w:firstLineChars="200"/>
        <w:rPr>
          <w:rFonts w:eastAsiaTheme="minorEastAsia"/>
          <w:sz w:val="24"/>
        </w:rPr>
      </w:pPr>
      <w:r>
        <w:rPr>
          <w:rFonts w:eastAsiaTheme="minorEastAsia"/>
          <w:sz w:val="24"/>
        </w:rPr>
        <w:t>8.1.2  焊接工艺评定应按NB/T 47014的规定进行，当设计有其他要求时，焊接工艺评定还应满足设计文件的要求。</w:t>
      </w:r>
    </w:p>
    <w:p>
      <w:pPr>
        <w:spacing w:line="360" w:lineRule="auto"/>
        <w:ind w:firstLine="480" w:firstLineChars="200"/>
        <w:rPr>
          <w:rFonts w:eastAsiaTheme="minorEastAsia"/>
          <w:sz w:val="24"/>
        </w:rPr>
      </w:pPr>
      <w:r>
        <w:rPr>
          <w:rFonts w:eastAsiaTheme="minorEastAsia"/>
          <w:sz w:val="24"/>
        </w:rPr>
        <w:t>8.1.3  药芯焊丝气体保护焊采用的保护气体类型、混合气体比例、气体流量范围等应经焊接工艺评定验证，并在焊接工艺评定报告中准确记录。</w:t>
      </w:r>
    </w:p>
    <w:p>
      <w:pPr>
        <w:spacing w:line="360" w:lineRule="auto"/>
        <w:ind w:firstLine="480" w:firstLineChars="200"/>
        <w:rPr>
          <w:rFonts w:eastAsiaTheme="minorEastAsia"/>
          <w:sz w:val="24"/>
        </w:rPr>
      </w:pPr>
      <w:r>
        <w:rPr>
          <w:rFonts w:eastAsiaTheme="minorEastAsia"/>
          <w:sz w:val="24"/>
        </w:rPr>
        <w:t>8.1.4  当保护气体类型发生变化，或气体混合比例变化超过焊接工艺评定中规定的范围时，应重新进行评定。</w:t>
      </w:r>
    </w:p>
    <w:p>
      <w:pPr>
        <w:spacing w:line="360" w:lineRule="auto"/>
        <w:ind w:firstLine="480" w:firstLineChars="200"/>
        <w:rPr>
          <w:rFonts w:eastAsiaTheme="minorEastAsia"/>
          <w:sz w:val="24"/>
        </w:rPr>
      </w:pPr>
      <w:r>
        <w:rPr>
          <w:rFonts w:eastAsiaTheme="minorEastAsia"/>
          <w:sz w:val="24"/>
        </w:rPr>
        <w:t>8.1.5  当层道间厚度≥焊丝直径3倍时，焊接工艺评定应增加金相检测，层道间熔深应≥1mm。</w:t>
      </w:r>
    </w:p>
    <w:p>
      <w:pPr>
        <w:spacing w:line="360" w:lineRule="auto"/>
        <w:ind w:firstLine="480" w:firstLineChars="200"/>
        <w:rPr>
          <w:rFonts w:eastAsiaTheme="minorEastAsia"/>
          <w:sz w:val="24"/>
        </w:rPr>
      </w:pPr>
      <w:r>
        <w:rPr>
          <w:rFonts w:eastAsiaTheme="minorEastAsia"/>
          <w:sz w:val="24"/>
        </w:rPr>
        <w:t>8.1.6  当设计对奥氏体不锈钢管道有晶间腐蚀要求时，焊接工艺评定应进行晶间腐蚀试验。</w:t>
      </w:r>
    </w:p>
    <w:p>
      <w:pPr>
        <w:spacing w:line="360" w:lineRule="auto"/>
        <w:ind w:firstLine="480" w:firstLineChars="200"/>
        <w:rPr>
          <w:rFonts w:eastAsiaTheme="minorEastAsia"/>
          <w:sz w:val="24"/>
        </w:rPr>
      </w:pPr>
      <w:r>
        <w:rPr>
          <w:rFonts w:eastAsiaTheme="minorEastAsia"/>
          <w:sz w:val="24"/>
        </w:rPr>
        <w:t>8.1.7  低温钢管道焊接接头应按照NB/T 47014 和相关标准进行冲击韧性试验。</w:t>
      </w:r>
    </w:p>
    <w:p>
      <w:pPr>
        <w:spacing w:line="360" w:lineRule="auto"/>
        <w:ind w:firstLine="480" w:firstLineChars="200"/>
        <w:rPr>
          <w:rFonts w:eastAsiaTheme="minorEastAsia"/>
          <w:sz w:val="24"/>
        </w:rPr>
      </w:pPr>
      <w:r>
        <w:rPr>
          <w:rFonts w:eastAsiaTheme="minorEastAsia"/>
          <w:sz w:val="24"/>
        </w:rPr>
        <w:t>8.1.8  当短路</w:t>
      </w:r>
      <w:r>
        <w:rPr>
          <w:rFonts w:hint="eastAsia" w:eastAsiaTheme="minorEastAsia"/>
          <w:sz w:val="24"/>
        </w:rPr>
        <w:t>过渡电</w:t>
      </w:r>
      <w:r>
        <w:rPr>
          <w:rFonts w:eastAsiaTheme="minorEastAsia"/>
          <w:sz w:val="24"/>
        </w:rPr>
        <w:t>弧改为其他</w:t>
      </w:r>
      <w:r>
        <w:rPr>
          <w:rFonts w:hint="eastAsia" w:eastAsiaTheme="minorEastAsia"/>
          <w:sz w:val="24"/>
        </w:rPr>
        <w:t>熔滴过渡形式</w:t>
      </w:r>
      <w:r>
        <w:rPr>
          <w:rFonts w:eastAsiaTheme="minorEastAsia"/>
          <w:sz w:val="24"/>
        </w:rPr>
        <w:t>电弧类型时，应重新进行焊接工艺评定，反之亦然。采用短路过渡时，焊接工艺评定试件覆盖厚度应按照NB/T 47014中相关要求执行。</w:t>
      </w:r>
    </w:p>
    <w:p>
      <w:pPr>
        <w:spacing w:line="360" w:lineRule="auto"/>
        <w:ind w:firstLine="480" w:firstLineChars="200"/>
        <w:rPr>
          <w:rFonts w:eastAsiaTheme="minorEastAsia"/>
          <w:sz w:val="24"/>
        </w:rPr>
      </w:pPr>
      <w:r>
        <w:rPr>
          <w:rFonts w:eastAsiaTheme="minorEastAsia"/>
          <w:sz w:val="24"/>
        </w:rPr>
        <w:t>8.1.9  当药芯焊丝气保焊采用脉冲参数时，焊接工艺评定中应记录设备型号、脉冲参数等数据。</w:t>
      </w:r>
    </w:p>
    <w:p>
      <w:pPr>
        <w:spacing w:line="360" w:lineRule="auto"/>
        <w:ind w:firstLine="480" w:firstLineChars="200"/>
        <w:rPr>
          <w:rFonts w:eastAsiaTheme="minorEastAsia"/>
          <w:sz w:val="24"/>
        </w:rPr>
      </w:pPr>
      <w:r>
        <w:rPr>
          <w:rFonts w:eastAsiaTheme="minorEastAsia"/>
          <w:sz w:val="24"/>
        </w:rPr>
        <w:t>8.1.10  药芯焊丝机动焊、自动焊接，应详细记录相应的焊接参数；当焊接位置由平焊位置改为其他焊接位置时，应增加冲击韧性试验。</w:t>
      </w:r>
    </w:p>
    <w:p>
      <w:pPr>
        <w:pStyle w:val="87"/>
        <w:jc w:val="both"/>
        <w:rPr>
          <w:rFonts w:ascii="Times New Roman" w:hAnsi="Times New Roman" w:eastAsiaTheme="minorEastAsia"/>
          <w:b w:val="0"/>
        </w:rPr>
      </w:pPr>
      <w:bookmarkStart w:id="18" w:name="_Toc131325336"/>
      <w:r>
        <w:rPr>
          <w:rFonts w:ascii="Times New Roman" w:hAnsi="Times New Roman" w:eastAsiaTheme="minorEastAsia"/>
          <w:b w:val="0"/>
        </w:rPr>
        <w:t>8.2  焊接工艺规程</w:t>
      </w:r>
      <w:bookmarkEnd w:id="18"/>
    </w:p>
    <w:p>
      <w:pPr>
        <w:spacing w:line="360" w:lineRule="auto"/>
        <w:ind w:firstLine="480" w:firstLineChars="200"/>
        <w:rPr>
          <w:rFonts w:eastAsiaTheme="minorEastAsia"/>
          <w:sz w:val="24"/>
        </w:rPr>
      </w:pPr>
      <w:r>
        <w:rPr>
          <w:rFonts w:eastAsiaTheme="minorEastAsia"/>
          <w:sz w:val="24"/>
        </w:rPr>
        <w:t>8.2.1  施焊前，应根据焊接工艺评定、相关标准编制焊接工艺规程，用于指导焊接施工。</w:t>
      </w:r>
    </w:p>
    <w:p>
      <w:pPr>
        <w:spacing w:line="360" w:lineRule="auto"/>
        <w:ind w:firstLine="480" w:firstLineChars="200"/>
        <w:rPr>
          <w:rFonts w:eastAsiaTheme="minorEastAsia"/>
          <w:sz w:val="24"/>
        </w:rPr>
      </w:pPr>
      <w:r>
        <w:rPr>
          <w:rFonts w:eastAsiaTheme="minorEastAsia"/>
          <w:sz w:val="24"/>
        </w:rPr>
        <w:t>8.2.2  焊接工艺规程应至少包括下列内容：</w:t>
      </w:r>
    </w:p>
    <w:p>
      <w:pPr>
        <w:pStyle w:val="84"/>
        <w:numPr>
          <w:ilvl w:val="0"/>
          <w:numId w:val="8"/>
        </w:numPr>
        <w:spacing w:line="360" w:lineRule="auto"/>
        <w:ind w:firstLineChars="0"/>
        <w:rPr>
          <w:rFonts w:eastAsiaTheme="minorEastAsia"/>
          <w:sz w:val="24"/>
        </w:rPr>
      </w:pPr>
      <w:r>
        <w:rPr>
          <w:rFonts w:eastAsiaTheme="minorEastAsia"/>
          <w:sz w:val="24"/>
        </w:rPr>
        <w:t xml:space="preserve"> 焊接环境要求；</w:t>
      </w:r>
    </w:p>
    <w:p>
      <w:pPr>
        <w:pStyle w:val="84"/>
        <w:numPr>
          <w:ilvl w:val="0"/>
          <w:numId w:val="8"/>
        </w:numPr>
        <w:spacing w:line="360" w:lineRule="auto"/>
        <w:ind w:firstLineChars="0"/>
        <w:rPr>
          <w:sz w:val="24"/>
        </w:rPr>
      </w:pPr>
      <w:r>
        <w:rPr>
          <w:sz w:val="24"/>
        </w:rPr>
        <w:t xml:space="preserve"> 焊接方法及机动化程度；</w:t>
      </w:r>
    </w:p>
    <w:p>
      <w:pPr>
        <w:pStyle w:val="84"/>
        <w:numPr>
          <w:ilvl w:val="0"/>
          <w:numId w:val="8"/>
        </w:numPr>
        <w:spacing w:line="360" w:lineRule="auto"/>
        <w:ind w:firstLineChars="0"/>
        <w:rPr>
          <w:sz w:val="24"/>
        </w:rPr>
      </w:pPr>
      <w:r>
        <w:rPr>
          <w:rFonts w:eastAsiaTheme="minorEastAsia"/>
          <w:sz w:val="24"/>
        </w:rPr>
        <w:t xml:space="preserve"> 电源种类和极性；</w:t>
      </w:r>
    </w:p>
    <w:p>
      <w:pPr>
        <w:pStyle w:val="84"/>
        <w:numPr>
          <w:ilvl w:val="0"/>
          <w:numId w:val="8"/>
        </w:numPr>
        <w:spacing w:line="360" w:lineRule="auto"/>
        <w:ind w:firstLineChars="0"/>
        <w:rPr>
          <w:sz w:val="24"/>
        </w:rPr>
      </w:pPr>
      <w:r>
        <w:rPr>
          <w:sz w:val="24"/>
        </w:rPr>
        <w:t xml:space="preserve"> 母材的型号、规格尺寸； </w:t>
      </w:r>
    </w:p>
    <w:p>
      <w:pPr>
        <w:pStyle w:val="84"/>
        <w:numPr>
          <w:ilvl w:val="0"/>
          <w:numId w:val="8"/>
        </w:numPr>
        <w:spacing w:line="360" w:lineRule="auto"/>
        <w:ind w:firstLineChars="0"/>
        <w:rPr>
          <w:sz w:val="24"/>
        </w:rPr>
      </w:pPr>
      <w:r>
        <w:rPr>
          <w:sz w:val="24"/>
        </w:rPr>
        <w:t xml:space="preserve"> 坡口形式、尺寸及加工要求；</w:t>
      </w:r>
    </w:p>
    <w:p>
      <w:pPr>
        <w:pStyle w:val="84"/>
        <w:numPr>
          <w:ilvl w:val="0"/>
          <w:numId w:val="8"/>
        </w:numPr>
        <w:spacing w:line="360" w:lineRule="auto"/>
        <w:ind w:firstLineChars="0"/>
        <w:rPr>
          <w:sz w:val="24"/>
        </w:rPr>
      </w:pPr>
      <w:r>
        <w:rPr>
          <w:sz w:val="24"/>
        </w:rPr>
        <w:t xml:space="preserve"> 焊丝的标准号、型号、牌号、规格；</w:t>
      </w:r>
    </w:p>
    <w:p>
      <w:pPr>
        <w:pStyle w:val="84"/>
        <w:numPr>
          <w:ilvl w:val="0"/>
          <w:numId w:val="8"/>
        </w:numPr>
        <w:spacing w:line="360" w:lineRule="auto"/>
        <w:ind w:firstLineChars="0"/>
        <w:rPr>
          <w:sz w:val="24"/>
        </w:rPr>
      </w:pPr>
      <w:r>
        <w:rPr>
          <w:sz w:val="24"/>
        </w:rPr>
        <w:t xml:space="preserve"> 焊接位置及焊接方向；</w:t>
      </w:r>
    </w:p>
    <w:p>
      <w:pPr>
        <w:pStyle w:val="84"/>
        <w:numPr>
          <w:ilvl w:val="0"/>
          <w:numId w:val="8"/>
        </w:numPr>
        <w:spacing w:line="360" w:lineRule="auto"/>
        <w:ind w:firstLineChars="0"/>
        <w:rPr>
          <w:sz w:val="24"/>
        </w:rPr>
      </w:pPr>
      <w:r>
        <w:rPr>
          <w:sz w:val="24"/>
        </w:rPr>
        <w:t xml:space="preserve"> 焊接层道数量及层厚；</w:t>
      </w:r>
    </w:p>
    <w:p>
      <w:pPr>
        <w:pStyle w:val="84"/>
        <w:numPr>
          <w:ilvl w:val="0"/>
          <w:numId w:val="8"/>
        </w:numPr>
        <w:spacing w:line="360" w:lineRule="auto"/>
        <w:ind w:firstLineChars="0"/>
        <w:rPr>
          <w:sz w:val="24"/>
        </w:rPr>
      </w:pPr>
      <w:r>
        <w:rPr>
          <w:sz w:val="24"/>
        </w:rPr>
        <w:t xml:space="preserve"> 预热及</w:t>
      </w:r>
      <w:r>
        <w:rPr>
          <w:rFonts w:hint="eastAsia"/>
          <w:sz w:val="24"/>
        </w:rPr>
        <w:t>层</w:t>
      </w:r>
      <w:r>
        <w:rPr>
          <w:sz w:val="24"/>
        </w:rPr>
        <w:t>道间温度及后热、焊后热处理要求；</w:t>
      </w:r>
    </w:p>
    <w:p>
      <w:pPr>
        <w:pStyle w:val="84"/>
        <w:numPr>
          <w:ilvl w:val="0"/>
          <w:numId w:val="8"/>
        </w:numPr>
        <w:spacing w:line="360" w:lineRule="auto"/>
        <w:ind w:firstLineChars="0"/>
        <w:rPr>
          <w:sz w:val="24"/>
        </w:rPr>
      </w:pPr>
      <w:r>
        <w:rPr>
          <w:sz w:val="24"/>
        </w:rPr>
        <w:t xml:space="preserve"> 保护气体的类型、成分、混合配比、纯度、流量范围；</w:t>
      </w:r>
    </w:p>
    <w:p>
      <w:pPr>
        <w:pStyle w:val="84"/>
        <w:numPr>
          <w:ilvl w:val="0"/>
          <w:numId w:val="8"/>
        </w:numPr>
        <w:spacing w:line="360" w:lineRule="auto"/>
        <w:ind w:firstLineChars="0"/>
        <w:rPr>
          <w:sz w:val="24"/>
        </w:rPr>
      </w:pPr>
      <w:r>
        <w:rPr>
          <w:rFonts w:eastAsiaTheme="minorEastAsia"/>
          <w:sz w:val="24"/>
        </w:rPr>
        <w:t xml:space="preserve"> 电流（送丝速度）和电压、脉冲参数、干伸长度等</w:t>
      </w:r>
      <w:r>
        <w:rPr>
          <w:sz w:val="24"/>
        </w:rPr>
        <w:t>焊接电特性及焊接工艺参数；</w:t>
      </w:r>
    </w:p>
    <w:p>
      <w:pPr>
        <w:pStyle w:val="84"/>
        <w:numPr>
          <w:ilvl w:val="0"/>
          <w:numId w:val="8"/>
        </w:numPr>
        <w:spacing w:line="360" w:lineRule="auto"/>
        <w:ind w:firstLineChars="0"/>
        <w:rPr>
          <w:sz w:val="24"/>
        </w:rPr>
      </w:pPr>
      <w:r>
        <w:rPr>
          <w:sz w:val="24"/>
        </w:rPr>
        <w:t xml:space="preserve"> 焊接操作要领与技术措施。</w:t>
      </w:r>
    </w:p>
    <w:p>
      <w:pPr>
        <w:pStyle w:val="84"/>
        <w:numPr>
          <w:ilvl w:val="0"/>
          <w:numId w:val="8"/>
        </w:numPr>
        <w:spacing w:line="360" w:lineRule="auto"/>
        <w:ind w:firstLineChars="0"/>
        <w:rPr>
          <w:sz w:val="24"/>
        </w:rPr>
      </w:pPr>
    </w:p>
    <w:p>
      <w:pPr>
        <w:pStyle w:val="87"/>
        <w:rPr>
          <w:rFonts w:ascii="黑体" w:hAnsi="黑体" w:eastAsia="黑体"/>
        </w:rPr>
      </w:pPr>
      <w:bookmarkStart w:id="19" w:name="_Toc131325337"/>
      <w:r>
        <w:rPr>
          <w:rFonts w:ascii="黑体" w:hAnsi="黑体" w:eastAsia="黑体"/>
        </w:rPr>
        <w:t>9  焊接环境</w:t>
      </w:r>
      <w:bookmarkEnd w:id="19"/>
    </w:p>
    <w:p>
      <w:pPr>
        <w:spacing w:line="360" w:lineRule="auto"/>
        <w:rPr>
          <w:rFonts w:eastAsiaTheme="minorEastAsia"/>
          <w:sz w:val="24"/>
        </w:rPr>
      </w:pPr>
      <w:r>
        <w:rPr>
          <w:rFonts w:eastAsiaTheme="minorEastAsia"/>
          <w:sz w:val="24"/>
        </w:rPr>
        <w:t>9.1  施焊环境出现下列情况之一时，应采取防护措施，否则应停止焊接工作：</w:t>
      </w:r>
    </w:p>
    <w:p>
      <w:pPr>
        <w:spacing w:line="360" w:lineRule="auto"/>
        <w:ind w:firstLine="480" w:firstLineChars="200"/>
        <w:rPr>
          <w:rFonts w:eastAsiaTheme="minorEastAsia"/>
          <w:sz w:val="24"/>
        </w:rPr>
      </w:pPr>
      <w:r>
        <w:rPr>
          <w:rFonts w:eastAsiaTheme="minorEastAsia"/>
          <w:sz w:val="24"/>
        </w:rPr>
        <w:t>a）焊接时风速等于或大于2m/s；</w:t>
      </w:r>
    </w:p>
    <w:p>
      <w:pPr>
        <w:spacing w:line="360" w:lineRule="auto"/>
        <w:ind w:firstLine="480" w:firstLineChars="200"/>
        <w:rPr>
          <w:rFonts w:eastAsiaTheme="minorEastAsia"/>
          <w:sz w:val="24"/>
        </w:rPr>
      </w:pPr>
      <w:r>
        <w:rPr>
          <w:rFonts w:eastAsiaTheme="minorEastAsia"/>
          <w:sz w:val="24"/>
        </w:rPr>
        <w:t>b）相对湿度大于90%；</w:t>
      </w:r>
    </w:p>
    <w:p>
      <w:pPr>
        <w:spacing w:line="360" w:lineRule="auto"/>
        <w:ind w:firstLine="480" w:firstLineChars="200"/>
        <w:rPr>
          <w:rFonts w:eastAsiaTheme="minorEastAsia"/>
          <w:sz w:val="24"/>
        </w:rPr>
      </w:pPr>
      <w:r>
        <w:rPr>
          <w:rFonts w:eastAsiaTheme="minorEastAsia"/>
          <w:sz w:val="24"/>
        </w:rPr>
        <w:t>c）下雨或下雪时露天作业；</w:t>
      </w:r>
    </w:p>
    <w:p>
      <w:pPr>
        <w:spacing w:line="360" w:lineRule="auto"/>
        <w:ind w:firstLine="480" w:firstLineChars="200"/>
        <w:rPr>
          <w:rFonts w:eastAsiaTheme="minorEastAsia"/>
          <w:sz w:val="24"/>
        </w:rPr>
      </w:pPr>
      <w:r>
        <w:rPr>
          <w:rFonts w:eastAsiaTheme="minorEastAsia"/>
          <w:sz w:val="24"/>
        </w:rPr>
        <w:t>d）环境温度低于-20 ℃。</w:t>
      </w:r>
    </w:p>
    <w:p>
      <w:pPr>
        <w:spacing w:line="360" w:lineRule="auto"/>
        <w:rPr>
          <w:rFonts w:eastAsiaTheme="minorEastAsia"/>
          <w:sz w:val="24"/>
        </w:rPr>
      </w:pPr>
      <w:r>
        <w:rPr>
          <w:rFonts w:eastAsiaTheme="minorEastAsia"/>
          <w:sz w:val="24"/>
        </w:rPr>
        <w:t>9.2  当焊接时风速过大时，可采用防风棚、焊枪防风罩等措施，或增大喷嘴保护气流量，改善气体保护效果。</w:t>
      </w:r>
    </w:p>
    <w:p>
      <w:pPr>
        <w:spacing w:line="360" w:lineRule="auto"/>
        <w:rPr>
          <w:rFonts w:eastAsiaTheme="minorEastAsia"/>
          <w:sz w:val="24"/>
        </w:rPr>
      </w:pPr>
    </w:p>
    <w:p>
      <w:pPr>
        <w:pStyle w:val="87"/>
        <w:rPr>
          <w:rFonts w:ascii="黑体" w:hAnsi="黑体" w:eastAsia="黑体"/>
        </w:rPr>
      </w:pPr>
      <w:bookmarkStart w:id="20" w:name="_Toc131325338"/>
      <w:r>
        <w:rPr>
          <w:rFonts w:ascii="黑体" w:hAnsi="黑体" w:eastAsia="黑体"/>
        </w:rPr>
        <w:t>10  焊接施工</w:t>
      </w:r>
      <w:bookmarkEnd w:id="20"/>
      <w:r>
        <w:rPr>
          <w:rFonts w:ascii="黑体" w:hAnsi="黑体" w:eastAsia="黑体"/>
        </w:rPr>
        <w:t xml:space="preserve"> </w:t>
      </w:r>
    </w:p>
    <w:p>
      <w:pPr>
        <w:pStyle w:val="87"/>
        <w:jc w:val="both"/>
        <w:rPr>
          <w:rFonts w:ascii="Times New Roman" w:hAnsi="Times New Roman" w:eastAsiaTheme="minorEastAsia"/>
          <w:b w:val="0"/>
        </w:rPr>
      </w:pPr>
      <w:bookmarkStart w:id="21" w:name="_Toc131325339"/>
      <w:r>
        <w:rPr>
          <w:rFonts w:ascii="Times New Roman" w:hAnsi="Times New Roman" w:eastAsiaTheme="minorEastAsia"/>
          <w:b w:val="0"/>
        </w:rPr>
        <w:t>10.1  焊接设备</w:t>
      </w:r>
      <w:bookmarkEnd w:id="21"/>
    </w:p>
    <w:p>
      <w:pPr>
        <w:spacing w:line="360" w:lineRule="auto"/>
        <w:ind w:firstLine="480" w:firstLineChars="200"/>
        <w:rPr>
          <w:rFonts w:eastAsiaTheme="minorEastAsia"/>
          <w:sz w:val="24"/>
        </w:rPr>
      </w:pPr>
      <w:r>
        <w:rPr>
          <w:rFonts w:eastAsiaTheme="minorEastAsia"/>
          <w:sz w:val="24"/>
        </w:rPr>
        <w:t>10.1.1  熔化极气保焊焊机宜设置专用电源供电，网络电压应满足焊接电源承载范围。</w:t>
      </w:r>
    </w:p>
    <w:p>
      <w:pPr>
        <w:spacing w:line="360" w:lineRule="auto"/>
        <w:ind w:firstLine="480" w:firstLineChars="200"/>
        <w:rPr>
          <w:rFonts w:eastAsiaTheme="minorEastAsia"/>
          <w:sz w:val="24"/>
        </w:rPr>
      </w:pPr>
      <w:r>
        <w:rPr>
          <w:rFonts w:eastAsiaTheme="minorEastAsia"/>
          <w:sz w:val="24"/>
        </w:rPr>
        <w:t>10.1.2  焊接前，应检查焊接设备、电加热预热干燥器、压丝轮、导丝管、导电嘴、保护气喷嘴等满足要求。</w:t>
      </w:r>
    </w:p>
    <w:p>
      <w:pPr>
        <w:spacing w:line="360" w:lineRule="auto"/>
        <w:ind w:firstLine="480" w:firstLineChars="200"/>
        <w:rPr>
          <w:rFonts w:eastAsiaTheme="minorEastAsia"/>
          <w:sz w:val="24"/>
        </w:rPr>
      </w:pPr>
      <w:r>
        <w:rPr>
          <w:rFonts w:eastAsiaTheme="minorEastAsia"/>
          <w:sz w:val="24"/>
        </w:rPr>
        <w:t>10.1.3  焊接保护气输送宜采用塑料导管，不应采用胶皮导管。焊接前应提前送气，对输送管道中的水分进行吹扫。</w:t>
      </w:r>
    </w:p>
    <w:p>
      <w:pPr>
        <w:spacing w:line="360" w:lineRule="auto"/>
        <w:ind w:firstLine="480" w:firstLineChars="200"/>
        <w:rPr>
          <w:rFonts w:eastAsiaTheme="minorEastAsia"/>
          <w:sz w:val="24"/>
        </w:rPr>
      </w:pPr>
      <w:r>
        <w:rPr>
          <w:rFonts w:eastAsiaTheme="minorEastAsia"/>
          <w:sz w:val="24"/>
        </w:rPr>
        <w:t>10.1.4  手工焊接时，宜采用推丝式焊枪；机动焊、自动焊宜采用拉丝式、推拉丝式焊枪。</w:t>
      </w:r>
    </w:p>
    <w:p>
      <w:pPr>
        <w:spacing w:line="360" w:lineRule="auto"/>
        <w:ind w:firstLine="480" w:firstLineChars="200"/>
        <w:rPr>
          <w:rFonts w:eastAsiaTheme="minorEastAsia"/>
          <w:sz w:val="24"/>
        </w:rPr>
      </w:pPr>
      <w:r>
        <w:rPr>
          <w:rFonts w:eastAsiaTheme="minorEastAsia"/>
          <w:sz w:val="24"/>
        </w:rPr>
        <w:t>10.1.5  管道全位置手工焊、机动焊、自动焊宜采用细丝熔化极气保焊。管道转动焊口焊接时可使用粗丝熔化极气保焊。</w:t>
      </w:r>
    </w:p>
    <w:p>
      <w:pPr>
        <w:pStyle w:val="87"/>
        <w:jc w:val="both"/>
        <w:rPr>
          <w:rFonts w:ascii="Times New Roman" w:hAnsi="Times New Roman" w:eastAsiaTheme="minorEastAsia"/>
          <w:b w:val="0"/>
        </w:rPr>
      </w:pPr>
      <w:bookmarkStart w:id="22" w:name="_Toc131325340"/>
      <w:r>
        <w:rPr>
          <w:rFonts w:ascii="Times New Roman" w:hAnsi="Times New Roman" w:eastAsiaTheme="minorEastAsia"/>
          <w:b w:val="0"/>
        </w:rPr>
        <w:t>10.2  坡口</w:t>
      </w:r>
      <w:bookmarkEnd w:id="22"/>
      <w:r>
        <w:rPr>
          <w:rFonts w:ascii="Times New Roman" w:hAnsi="Times New Roman" w:eastAsiaTheme="minorEastAsia"/>
          <w:b w:val="0"/>
        </w:rPr>
        <w:t xml:space="preserve"> </w:t>
      </w:r>
    </w:p>
    <w:p>
      <w:pPr>
        <w:spacing w:line="360" w:lineRule="auto"/>
        <w:ind w:firstLine="480" w:firstLineChars="200"/>
        <w:rPr>
          <w:rFonts w:eastAsiaTheme="minorEastAsia"/>
          <w:sz w:val="24"/>
        </w:rPr>
      </w:pPr>
      <w:r>
        <w:rPr>
          <w:rFonts w:eastAsiaTheme="minorEastAsia"/>
          <w:sz w:val="24"/>
        </w:rPr>
        <w:t>10.2.1  坡口形式和尺寸宜参照GB/T 985.1的规定。</w:t>
      </w:r>
    </w:p>
    <w:p>
      <w:pPr>
        <w:spacing w:line="360" w:lineRule="auto"/>
        <w:ind w:firstLine="480" w:firstLineChars="200"/>
        <w:rPr>
          <w:rFonts w:eastAsiaTheme="minorEastAsia"/>
          <w:sz w:val="24"/>
        </w:rPr>
      </w:pPr>
      <w:r>
        <w:rPr>
          <w:rFonts w:eastAsiaTheme="minorEastAsia"/>
          <w:sz w:val="24"/>
        </w:rPr>
        <w:t>10.2.2  碳钢及低合金钢坡口加工可采用机械方法或火焰切割方法；不锈钢坡口加工应采用机械加工或等离子切割方法。</w:t>
      </w:r>
    </w:p>
    <w:p>
      <w:pPr>
        <w:spacing w:line="360" w:lineRule="auto"/>
        <w:ind w:firstLine="480" w:firstLineChars="200"/>
        <w:rPr>
          <w:rFonts w:eastAsiaTheme="minorEastAsia"/>
          <w:sz w:val="24"/>
        </w:rPr>
      </w:pPr>
      <w:r>
        <w:rPr>
          <w:rFonts w:eastAsiaTheme="minorEastAsia"/>
          <w:sz w:val="24"/>
        </w:rPr>
        <w:t>10.2.3  采用等离子弧、火焰等热加工方法，应除去坡口表面的氧化皮、熔渣及影响接头质量的表面层，并应将凹凸不平处打磨平整。</w:t>
      </w:r>
    </w:p>
    <w:p>
      <w:pPr>
        <w:pStyle w:val="87"/>
        <w:jc w:val="both"/>
        <w:rPr>
          <w:rFonts w:ascii="Times New Roman" w:hAnsi="Times New Roman" w:eastAsiaTheme="minorEastAsia"/>
          <w:b w:val="0"/>
        </w:rPr>
      </w:pPr>
      <w:bookmarkStart w:id="23" w:name="_Toc131325341"/>
      <w:r>
        <w:rPr>
          <w:rFonts w:ascii="Times New Roman" w:hAnsi="Times New Roman" w:eastAsiaTheme="minorEastAsia"/>
          <w:b w:val="0"/>
        </w:rPr>
        <w:t>10.3  坡口清理及准备</w:t>
      </w:r>
      <w:bookmarkEnd w:id="23"/>
    </w:p>
    <w:p>
      <w:pPr>
        <w:spacing w:line="360" w:lineRule="auto"/>
        <w:ind w:firstLine="480" w:firstLineChars="200"/>
        <w:rPr>
          <w:rFonts w:eastAsiaTheme="minorEastAsia"/>
          <w:sz w:val="24"/>
        </w:rPr>
      </w:pPr>
      <w:r>
        <w:rPr>
          <w:rFonts w:eastAsiaTheme="minorEastAsia"/>
          <w:sz w:val="24"/>
        </w:rPr>
        <w:t>10.3.1  焊件组对及焊接前，应将坡口及内外侧表面不小于20mm范围内的杂质、毛刺、油污等清理干净，并不得有裂纹、夹层和夹渣等缺陷。</w:t>
      </w:r>
    </w:p>
    <w:p>
      <w:pPr>
        <w:spacing w:line="360" w:lineRule="auto"/>
        <w:ind w:firstLine="480" w:firstLineChars="200"/>
        <w:rPr>
          <w:rFonts w:eastAsiaTheme="minorEastAsia"/>
          <w:sz w:val="24"/>
        </w:rPr>
      </w:pPr>
      <w:r>
        <w:rPr>
          <w:rFonts w:eastAsiaTheme="minorEastAsia"/>
          <w:sz w:val="24"/>
        </w:rPr>
        <w:t>10.3.2  不锈钢坡口打磨时应使用不锈钢专用砂轮片。</w:t>
      </w:r>
    </w:p>
    <w:p>
      <w:pPr>
        <w:pStyle w:val="87"/>
        <w:jc w:val="both"/>
        <w:rPr>
          <w:rFonts w:ascii="Times New Roman" w:hAnsi="Times New Roman" w:eastAsiaTheme="minorEastAsia"/>
          <w:b w:val="0"/>
        </w:rPr>
      </w:pPr>
      <w:bookmarkStart w:id="24" w:name="_Toc131325342"/>
      <w:r>
        <w:rPr>
          <w:rFonts w:ascii="Times New Roman" w:hAnsi="Times New Roman" w:eastAsiaTheme="minorEastAsia"/>
          <w:b w:val="0"/>
        </w:rPr>
        <w:t>10.4  组对及定位焊接</w:t>
      </w:r>
      <w:bookmarkEnd w:id="24"/>
    </w:p>
    <w:p>
      <w:pPr>
        <w:spacing w:line="360" w:lineRule="auto"/>
        <w:ind w:firstLine="480" w:firstLineChars="200"/>
        <w:rPr>
          <w:rFonts w:eastAsiaTheme="minorEastAsia"/>
          <w:sz w:val="24"/>
        </w:rPr>
      </w:pPr>
      <w:r>
        <w:rPr>
          <w:rFonts w:eastAsiaTheme="minorEastAsia"/>
          <w:sz w:val="24"/>
        </w:rPr>
        <w:t>10.4.1  焊件对接接头组对时，内壁错边量不应超过母材厚度的10%，且机动焊、自动焊接时不应大于1mm，手工焊接时不应大于2mm。</w:t>
      </w:r>
    </w:p>
    <w:p>
      <w:pPr>
        <w:spacing w:line="360" w:lineRule="auto"/>
        <w:ind w:firstLine="480" w:firstLineChars="200"/>
        <w:rPr>
          <w:rFonts w:eastAsiaTheme="minorEastAsia"/>
          <w:sz w:val="24"/>
        </w:rPr>
      </w:pPr>
      <w:r>
        <w:rPr>
          <w:rFonts w:eastAsiaTheme="minorEastAsia"/>
          <w:sz w:val="24"/>
        </w:rPr>
        <w:t>10.4.2  在根部焊道焊接前，应对熔入正式焊缝的定位焊缝进行检查，当发现缺陷时，</w:t>
      </w:r>
      <w:r>
        <w:rPr>
          <w:rFonts w:hint="eastAsia" w:eastAsiaTheme="minorEastAsia"/>
          <w:sz w:val="24"/>
        </w:rPr>
        <w:t>按要求</w:t>
      </w:r>
      <w:r>
        <w:rPr>
          <w:rFonts w:eastAsiaTheme="minorEastAsia"/>
          <w:sz w:val="24"/>
        </w:rPr>
        <w:t>处理</w:t>
      </w:r>
      <w:r>
        <w:rPr>
          <w:rFonts w:hint="eastAsia" w:eastAsiaTheme="minorEastAsia"/>
          <w:sz w:val="24"/>
        </w:rPr>
        <w:t>合格</w:t>
      </w:r>
      <w:r>
        <w:rPr>
          <w:rFonts w:eastAsiaTheme="minorEastAsia"/>
          <w:sz w:val="24"/>
        </w:rPr>
        <w:t>后方可施焊。</w:t>
      </w:r>
    </w:p>
    <w:p>
      <w:pPr>
        <w:spacing w:line="360" w:lineRule="auto"/>
        <w:ind w:firstLine="480" w:firstLineChars="200"/>
        <w:rPr>
          <w:rFonts w:eastAsiaTheme="minorEastAsia"/>
          <w:sz w:val="24"/>
        </w:rPr>
      </w:pPr>
      <w:r>
        <w:rPr>
          <w:rFonts w:eastAsiaTheme="minorEastAsia"/>
          <w:sz w:val="24"/>
        </w:rPr>
        <w:t>10.4.3  定位焊缝两端应圆滑过渡。</w:t>
      </w:r>
    </w:p>
    <w:p>
      <w:pPr>
        <w:spacing w:line="360" w:lineRule="auto"/>
        <w:ind w:firstLine="480" w:firstLineChars="200"/>
        <w:rPr>
          <w:rFonts w:eastAsiaTheme="minorEastAsia"/>
          <w:sz w:val="24"/>
        </w:rPr>
      </w:pPr>
      <w:r>
        <w:rPr>
          <w:rFonts w:eastAsiaTheme="minorEastAsia"/>
          <w:sz w:val="24"/>
        </w:rPr>
        <w:t>10.4.4  不锈钢焊件施焊前，坡口两侧各100㎜范围内应采取防飞溅措施。</w:t>
      </w:r>
    </w:p>
    <w:p>
      <w:pPr>
        <w:pStyle w:val="87"/>
        <w:jc w:val="both"/>
        <w:rPr>
          <w:rFonts w:ascii="Times New Roman" w:hAnsi="Times New Roman" w:eastAsiaTheme="minorEastAsia"/>
          <w:b w:val="0"/>
        </w:rPr>
      </w:pPr>
      <w:bookmarkStart w:id="25" w:name="_Toc131325343"/>
      <w:r>
        <w:rPr>
          <w:rFonts w:ascii="Times New Roman" w:hAnsi="Times New Roman" w:eastAsiaTheme="minorEastAsia"/>
          <w:b w:val="0"/>
        </w:rPr>
        <w:t>10.5  焊前预热</w:t>
      </w:r>
      <w:bookmarkEnd w:id="25"/>
    </w:p>
    <w:p>
      <w:pPr>
        <w:spacing w:line="360" w:lineRule="auto"/>
        <w:ind w:firstLine="480" w:firstLineChars="200"/>
        <w:rPr>
          <w:rFonts w:eastAsiaTheme="minorEastAsia"/>
          <w:sz w:val="24"/>
        </w:rPr>
      </w:pPr>
      <w:r>
        <w:rPr>
          <w:rFonts w:eastAsiaTheme="minorEastAsia"/>
          <w:sz w:val="24"/>
        </w:rPr>
        <w:t>10.5.1  当焊件温度低于0℃时，所有钢材的焊缝应在始焊处100mm范围内预热至15℃以上。预热时间应结合材料规格、环境条件，管口均匀预热，彻底清除冷凝水。</w:t>
      </w:r>
    </w:p>
    <w:p>
      <w:pPr>
        <w:spacing w:line="360" w:lineRule="auto"/>
        <w:ind w:firstLine="480" w:firstLineChars="200"/>
        <w:rPr>
          <w:rFonts w:eastAsiaTheme="minorEastAsia"/>
          <w:sz w:val="24"/>
        </w:rPr>
      </w:pPr>
      <w:r>
        <w:rPr>
          <w:rFonts w:eastAsiaTheme="minorEastAsia"/>
          <w:sz w:val="24"/>
        </w:rPr>
        <w:t>10.5.2  焊前预热应根据钢材的淬硬性、焊件厚度、结构刚性、焊接方法、焊接环境及使用条件等因素综合确定。焊前预热应在焊接工艺文件中规定，并应经焊接工艺评定验证。</w:t>
      </w:r>
    </w:p>
    <w:p>
      <w:pPr>
        <w:spacing w:line="360" w:lineRule="auto"/>
        <w:ind w:firstLine="480" w:firstLineChars="200"/>
        <w:rPr>
          <w:rFonts w:eastAsiaTheme="minorEastAsia"/>
          <w:sz w:val="24"/>
        </w:rPr>
      </w:pPr>
      <w:r>
        <w:rPr>
          <w:rFonts w:eastAsiaTheme="minorEastAsia"/>
          <w:sz w:val="24"/>
        </w:rPr>
        <w:t>10.5.3  焊前预热的加热范围应以焊缝中心为基准，每侧不应小于焊件厚度的5倍，且不应小于100mm。</w:t>
      </w:r>
    </w:p>
    <w:p>
      <w:pPr>
        <w:pStyle w:val="87"/>
        <w:jc w:val="both"/>
        <w:rPr>
          <w:rFonts w:ascii="Times New Roman" w:hAnsi="Times New Roman" w:eastAsiaTheme="minorEastAsia"/>
          <w:b w:val="0"/>
        </w:rPr>
      </w:pPr>
      <w:bookmarkStart w:id="26" w:name="_Toc131325344"/>
      <w:r>
        <w:rPr>
          <w:rFonts w:ascii="Times New Roman" w:hAnsi="Times New Roman" w:eastAsiaTheme="minorEastAsia"/>
          <w:b w:val="0"/>
        </w:rPr>
        <w:t>10.6 焊接工艺</w:t>
      </w:r>
      <w:bookmarkEnd w:id="26"/>
    </w:p>
    <w:p>
      <w:pPr>
        <w:spacing w:line="360" w:lineRule="auto"/>
        <w:ind w:firstLine="480" w:firstLineChars="200"/>
        <w:rPr>
          <w:rFonts w:eastAsiaTheme="minorEastAsia"/>
          <w:sz w:val="24"/>
        </w:rPr>
      </w:pPr>
      <w:r>
        <w:rPr>
          <w:rFonts w:eastAsiaTheme="minorEastAsia"/>
          <w:sz w:val="24"/>
        </w:rPr>
        <w:t>10.6.1  药芯焊丝材料的选用应符合设计文件、相关标准的规定，必要时应经焊接工艺评定验证。</w:t>
      </w:r>
    </w:p>
    <w:p>
      <w:pPr>
        <w:spacing w:line="360" w:lineRule="auto"/>
        <w:ind w:firstLine="480" w:firstLineChars="200"/>
        <w:rPr>
          <w:rFonts w:eastAsiaTheme="minorEastAsia"/>
          <w:sz w:val="24"/>
        </w:rPr>
      </w:pPr>
      <w:r>
        <w:rPr>
          <w:rFonts w:eastAsiaTheme="minorEastAsia"/>
          <w:sz w:val="24"/>
        </w:rPr>
        <w:t>10.6.2  当采用金属粉芯焊丝熔化极气保焊打底焊接时，宜采用细丝熔化极气保焊。不锈钢药芯焊丝气保焊背面可免惰性气体保护。</w:t>
      </w:r>
    </w:p>
    <w:p>
      <w:pPr>
        <w:spacing w:line="360" w:lineRule="auto"/>
        <w:ind w:firstLine="480" w:firstLineChars="200"/>
        <w:rPr>
          <w:rFonts w:eastAsiaTheme="minorEastAsia"/>
          <w:sz w:val="24"/>
        </w:rPr>
      </w:pPr>
      <w:r>
        <w:rPr>
          <w:rFonts w:eastAsiaTheme="minorEastAsia"/>
          <w:sz w:val="24"/>
        </w:rPr>
        <w:t>10.6.3  保护喷嘴直径，一般为焊丝直径×（10～15）倍，且不小于Φ12mm。</w:t>
      </w:r>
    </w:p>
    <w:p>
      <w:pPr>
        <w:spacing w:line="360" w:lineRule="auto"/>
        <w:ind w:firstLine="480" w:firstLineChars="200"/>
        <w:rPr>
          <w:rFonts w:eastAsiaTheme="minorEastAsia"/>
          <w:sz w:val="24"/>
        </w:rPr>
      </w:pPr>
      <w:r>
        <w:rPr>
          <w:rFonts w:eastAsiaTheme="minorEastAsia"/>
          <w:sz w:val="24"/>
        </w:rPr>
        <w:t>10.6.4  焊接时喷嘴保护气流量，宜按照以下公式计算，喷嘴保护气流量=喷嘴直径×（1～1.2）L/min。必要时，可适当增加保护气喷嘴流量。</w:t>
      </w:r>
    </w:p>
    <w:p>
      <w:pPr>
        <w:spacing w:line="360" w:lineRule="auto"/>
        <w:ind w:firstLine="480" w:firstLineChars="200"/>
        <w:rPr>
          <w:rFonts w:eastAsiaTheme="minorEastAsia"/>
          <w:sz w:val="24"/>
        </w:rPr>
      </w:pPr>
      <w:r>
        <w:rPr>
          <w:rFonts w:eastAsiaTheme="minorEastAsia"/>
          <w:sz w:val="24"/>
        </w:rPr>
        <w:t>10.6.5  焊接时，焊丝干伸长度宜为焊丝直径×（10～15）倍。当焊丝干伸长度超过该数值时，应适当增加喷嘴保护气流量。</w:t>
      </w:r>
    </w:p>
    <w:p>
      <w:pPr>
        <w:spacing w:line="360" w:lineRule="auto"/>
        <w:ind w:firstLine="480" w:firstLineChars="200"/>
        <w:rPr>
          <w:rFonts w:eastAsiaTheme="minorEastAsia"/>
          <w:sz w:val="24"/>
        </w:rPr>
      </w:pPr>
      <w:r>
        <w:rPr>
          <w:rFonts w:eastAsiaTheme="minorEastAsia"/>
          <w:sz w:val="24"/>
        </w:rPr>
        <w:t>10.6.6  焊接过程中，电弧摆动幅度不宜超过焊丝直径10～15倍。</w:t>
      </w:r>
    </w:p>
    <w:p>
      <w:pPr>
        <w:spacing w:line="360" w:lineRule="auto"/>
        <w:ind w:firstLine="480" w:firstLineChars="200"/>
        <w:rPr>
          <w:rFonts w:eastAsiaTheme="minorEastAsia"/>
          <w:sz w:val="24"/>
        </w:rPr>
      </w:pPr>
      <w:r>
        <w:rPr>
          <w:rFonts w:eastAsiaTheme="minorEastAsia"/>
          <w:sz w:val="24"/>
        </w:rPr>
        <w:t>10.6.7  为防止焊缝层道间熔敷金属未熔合、熔合不良，焊枪倾角、转角宜垂直于熔池，并采用多层多道焊，焊层厚度不宜超过焊丝直径3倍。</w:t>
      </w:r>
    </w:p>
    <w:p>
      <w:pPr>
        <w:spacing w:line="360" w:lineRule="auto"/>
        <w:ind w:firstLine="480" w:firstLineChars="200"/>
        <w:rPr>
          <w:rFonts w:eastAsiaTheme="minorEastAsia"/>
          <w:sz w:val="24"/>
        </w:rPr>
      </w:pPr>
      <w:r>
        <w:rPr>
          <w:rFonts w:eastAsiaTheme="minorEastAsia"/>
          <w:sz w:val="24"/>
        </w:rPr>
        <w:t>10.6.8   焊接时，当飞溅物影响观察和焊接时，应及时停止焊接，及时清除焊道中的飞溅物。</w:t>
      </w:r>
    </w:p>
    <w:p>
      <w:pPr>
        <w:spacing w:line="360" w:lineRule="auto"/>
        <w:ind w:firstLine="480" w:firstLineChars="200"/>
        <w:rPr>
          <w:rFonts w:eastAsiaTheme="minorEastAsia"/>
          <w:sz w:val="24"/>
        </w:rPr>
      </w:pPr>
      <w:r>
        <w:rPr>
          <w:rFonts w:eastAsiaTheme="minorEastAsia"/>
          <w:sz w:val="24"/>
        </w:rPr>
        <w:t>10.6.9  当焊接过程出现磁偏吹时，应停止施焊，并采取防磁吹措施</w:t>
      </w:r>
      <w:r>
        <w:rPr>
          <w:rFonts w:hint="eastAsia" w:eastAsiaTheme="minorEastAsia"/>
          <w:sz w:val="24"/>
        </w:rPr>
        <w:t>消除磁偏吹</w:t>
      </w:r>
      <w:r>
        <w:rPr>
          <w:rFonts w:eastAsiaTheme="minorEastAsia"/>
          <w:sz w:val="24"/>
        </w:rPr>
        <w:t>方可施焊。</w:t>
      </w:r>
    </w:p>
    <w:p>
      <w:pPr>
        <w:spacing w:line="360" w:lineRule="auto"/>
        <w:ind w:firstLine="480" w:firstLineChars="200"/>
        <w:rPr>
          <w:rFonts w:eastAsiaTheme="minorEastAsia"/>
          <w:sz w:val="24"/>
        </w:rPr>
      </w:pPr>
      <w:r>
        <w:rPr>
          <w:rFonts w:eastAsiaTheme="minorEastAsia"/>
          <w:sz w:val="24"/>
        </w:rPr>
        <w:t>10.6.10  管子焊接时，管内应防止穿堂风。</w:t>
      </w:r>
    </w:p>
    <w:p>
      <w:pPr>
        <w:spacing w:line="360" w:lineRule="auto"/>
        <w:ind w:firstLine="480" w:firstLineChars="200"/>
        <w:rPr>
          <w:rFonts w:eastAsiaTheme="minorEastAsia"/>
          <w:sz w:val="24"/>
        </w:rPr>
      </w:pPr>
      <w:r>
        <w:rPr>
          <w:rFonts w:eastAsiaTheme="minorEastAsia"/>
          <w:sz w:val="24"/>
        </w:rPr>
        <w:t>10.6.11  应采取提前送气、滞后停气的措施，并且在熄弧后，金属熔池未完全凝固之前，不得立即抬起焊枪及喷嘴。</w:t>
      </w:r>
    </w:p>
    <w:p>
      <w:pPr>
        <w:spacing w:line="360" w:lineRule="auto"/>
        <w:ind w:firstLine="480" w:firstLineChars="200"/>
        <w:rPr>
          <w:rFonts w:eastAsiaTheme="minorEastAsia"/>
          <w:sz w:val="24"/>
        </w:rPr>
      </w:pPr>
      <w:r>
        <w:rPr>
          <w:rFonts w:eastAsiaTheme="minorEastAsia"/>
          <w:sz w:val="24"/>
        </w:rPr>
        <w:t>10.6.12  焊接过程中应保证起弧和收弧处的质量，收弧时应将弧坑填满。多层多道焊接头应错开25mm以上，并清理道间的杂质。</w:t>
      </w:r>
    </w:p>
    <w:p>
      <w:pPr>
        <w:spacing w:line="360" w:lineRule="auto"/>
        <w:ind w:firstLine="480" w:firstLineChars="200"/>
        <w:rPr>
          <w:rFonts w:eastAsiaTheme="minorEastAsia"/>
          <w:sz w:val="24"/>
        </w:rPr>
      </w:pPr>
      <w:r>
        <w:rPr>
          <w:rFonts w:eastAsiaTheme="minorEastAsia"/>
          <w:sz w:val="24"/>
        </w:rPr>
        <w:t>10.6.13  碳钢、碳锰钢材料，道间温度不宜高于315℃；低温材料管道，道间温度不宜高于200℃；奥氏体不锈钢道间温度不宜高于150℃。</w:t>
      </w:r>
    </w:p>
    <w:p>
      <w:pPr>
        <w:pStyle w:val="87"/>
        <w:rPr>
          <w:rFonts w:ascii="黑体" w:hAnsi="黑体" w:eastAsia="黑体"/>
        </w:rPr>
      </w:pPr>
      <w:bookmarkStart w:id="27" w:name="_Toc131325345"/>
      <w:r>
        <w:rPr>
          <w:rFonts w:ascii="黑体" w:hAnsi="黑体" w:eastAsia="黑体"/>
        </w:rPr>
        <w:t>11 焊后热处理</w:t>
      </w:r>
      <w:bookmarkEnd w:id="27"/>
    </w:p>
    <w:p>
      <w:pPr>
        <w:spacing w:line="360" w:lineRule="auto"/>
        <w:ind w:firstLine="480" w:firstLineChars="200"/>
        <w:rPr>
          <w:rFonts w:eastAsiaTheme="minorEastAsia"/>
          <w:sz w:val="24"/>
        </w:rPr>
      </w:pPr>
      <w:r>
        <w:rPr>
          <w:rFonts w:eastAsiaTheme="minorEastAsia"/>
          <w:sz w:val="24"/>
        </w:rPr>
        <w:t>11.1  焊后热处理应符合设计文件的规定。当无规定时，金属管道的焊后热处理应符合GB 50235 中的相关规定。</w:t>
      </w:r>
    </w:p>
    <w:p>
      <w:pPr>
        <w:spacing w:line="360" w:lineRule="auto"/>
        <w:ind w:firstLine="480" w:firstLineChars="200"/>
        <w:rPr>
          <w:rFonts w:eastAsiaTheme="minorEastAsia"/>
          <w:sz w:val="24"/>
        </w:rPr>
      </w:pPr>
      <w:r>
        <w:rPr>
          <w:rFonts w:eastAsiaTheme="minorEastAsia"/>
          <w:sz w:val="24"/>
        </w:rPr>
        <w:t>11.2  奥氏体不锈钢不宜进行焊后热处理。含稳定化元素奥氏体不锈钢管道热处理执行设计文件要求。</w:t>
      </w:r>
    </w:p>
    <w:p>
      <w:pPr>
        <w:spacing w:line="360" w:lineRule="auto"/>
        <w:ind w:firstLine="480" w:firstLineChars="200"/>
        <w:rPr>
          <w:rFonts w:eastAsiaTheme="minorEastAsia"/>
          <w:sz w:val="24"/>
        </w:rPr>
      </w:pPr>
    </w:p>
    <w:p>
      <w:pPr>
        <w:pStyle w:val="87"/>
        <w:rPr>
          <w:rFonts w:ascii="黑体" w:hAnsi="黑体" w:eastAsia="黑体"/>
        </w:rPr>
      </w:pPr>
      <w:bookmarkStart w:id="28" w:name="_Toc131325346"/>
      <w:r>
        <w:rPr>
          <w:rFonts w:ascii="黑体" w:hAnsi="黑体" w:eastAsia="黑体"/>
        </w:rPr>
        <w:t>12 焊接质量检测</w:t>
      </w:r>
      <w:bookmarkEnd w:id="28"/>
      <w:r>
        <w:rPr>
          <w:rFonts w:ascii="黑体" w:hAnsi="黑体" w:eastAsia="黑体"/>
        </w:rPr>
        <w:t xml:space="preserve"> </w:t>
      </w:r>
    </w:p>
    <w:p>
      <w:pPr>
        <w:pStyle w:val="87"/>
        <w:jc w:val="both"/>
        <w:rPr>
          <w:rFonts w:ascii="Times New Roman" w:hAnsi="Times New Roman" w:eastAsiaTheme="minorEastAsia"/>
          <w:b w:val="0"/>
        </w:rPr>
      </w:pPr>
      <w:bookmarkStart w:id="29" w:name="_Toc131325347"/>
      <w:r>
        <w:rPr>
          <w:rFonts w:ascii="Times New Roman" w:hAnsi="Times New Roman" w:eastAsiaTheme="minorEastAsia"/>
          <w:b w:val="0"/>
        </w:rPr>
        <w:t>12.1  外观检查</w:t>
      </w:r>
      <w:bookmarkEnd w:id="29"/>
    </w:p>
    <w:p>
      <w:pPr>
        <w:spacing w:line="360" w:lineRule="auto"/>
        <w:ind w:firstLine="480" w:firstLineChars="200"/>
        <w:rPr>
          <w:rFonts w:eastAsiaTheme="minorEastAsia"/>
          <w:sz w:val="24"/>
        </w:rPr>
      </w:pPr>
      <w:r>
        <w:rPr>
          <w:rFonts w:eastAsiaTheme="minorEastAsia"/>
          <w:sz w:val="24"/>
        </w:rPr>
        <w:t>12.1.1  除设计文件和焊接工艺文件有特殊要求的焊缝外，焊缝应在焊完后立即去除</w:t>
      </w:r>
      <w:r>
        <w:rPr>
          <w:rFonts w:hint="eastAsia" w:eastAsiaTheme="minorEastAsia"/>
          <w:sz w:val="24"/>
        </w:rPr>
        <w:t>熔渣</w:t>
      </w:r>
      <w:r>
        <w:rPr>
          <w:rFonts w:eastAsiaTheme="minorEastAsia"/>
          <w:sz w:val="24"/>
        </w:rPr>
        <w:t>、飞溅物，清理干净焊缝表面，并应进行焊缝外观检查。</w:t>
      </w:r>
    </w:p>
    <w:p>
      <w:pPr>
        <w:spacing w:line="360" w:lineRule="auto"/>
        <w:ind w:firstLine="480" w:firstLineChars="200"/>
        <w:rPr>
          <w:rFonts w:eastAsiaTheme="minorEastAsia"/>
          <w:sz w:val="24"/>
        </w:rPr>
      </w:pPr>
      <w:r>
        <w:rPr>
          <w:rFonts w:eastAsiaTheme="minorEastAsia"/>
          <w:sz w:val="24"/>
        </w:rPr>
        <w:t>12.1.2  当焊缝及其附近表面进行酸洗、钝化处理时，其质量应符合设计文件和国家现行相关标准的规定。</w:t>
      </w:r>
    </w:p>
    <w:p>
      <w:pPr>
        <w:pStyle w:val="87"/>
        <w:jc w:val="both"/>
        <w:rPr>
          <w:rFonts w:ascii="Times New Roman" w:hAnsi="Times New Roman" w:eastAsiaTheme="minorEastAsia"/>
          <w:b w:val="0"/>
        </w:rPr>
      </w:pPr>
      <w:bookmarkStart w:id="30" w:name="_Toc131325348"/>
      <w:r>
        <w:rPr>
          <w:rFonts w:ascii="Times New Roman" w:hAnsi="Times New Roman" w:eastAsiaTheme="minorEastAsia"/>
          <w:b w:val="0"/>
        </w:rPr>
        <w:t>13.2  无损检测</w:t>
      </w:r>
      <w:bookmarkEnd w:id="30"/>
    </w:p>
    <w:p>
      <w:pPr>
        <w:spacing w:line="360" w:lineRule="auto"/>
        <w:ind w:firstLine="480" w:firstLineChars="200"/>
        <w:rPr>
          <w:rFonts w:eastAsiaTheme="minorEastAsia"/>
          <w:sz w:val="24"/>
        </w:rPr>
      </w:pPr>
      <w:r>
        <w:rPr>
          <w:rFonts w:eastAsiaTheme="minorEastAsia"/>
          <w:sz w:val="24"/>
        </w:rPr>
        <w:t>12.2.1焊缝无损检测应在该焊缝焊接完成并经外观检查合格后进行。对有延迟裂纹倾向的材料，无损检测应在焊接完成24h后进行。对有再热裂纹倾向的接头，无损检测应在热处理后进行。</w:t>
      </w:r>
    </w:p>
    <w:p>
      <w:pPr>
        <w:spacing w:line="360" w:lineRule="auto"/>
        <w:ind w:firstLine="480" w:firstLineChars="200"/>
        <w:rPr>
          <w:rFonts w:eastAsiaTheme="minorEastAsia"/>
          <w:sz w:val="24"/>
        </w:rPr>
      </w:pPr>
      <w:r>
        <w:rPr>
          <w:rFonts w:eastAsiaTheme="minorEastAsia"/>
          <w:sz w:val="24"/>
        </w:rPr>
        <w:t>12.2.2  无损检测按照NB/T 47013的规定执行。</w:t>
      </w:r>
    </w:p>
    <w:p>
      <w:pPr>
        <w:pStyle w:val="88"/>
        <w:jc w:val="both"/>
        <w:rPr>
          <w:rFonts w:ascii="Times New Roman" w:hAnsi="Times New Roman"/>
        </w:rPr>
      </w:pPr>
    </w:p>
    <w:p>
      <w:pPr>
        <w:pStyle w:val="88"/>
      </w:pPr>
    </w:p>
    <w:p>
      <w:pPr>
        <w:pStyle w:val="88"/>
      </w:pPr>
    </w:p>
    <w:p>
      <w:pPr>
        <w:pStyle w:val="88"/>
      </w:pPr>
    </w:p>
    <w:p>
      <w:pPr>
        <w:pStyle w:val="88"/>
      </w:pPr>
    </w:p>
    <w:p>
      <w:pPr>
        <w:pStyle w:val="88"/>
      </w:pPr>
    </w:p>
    <w:p>
      <w:pPr>
        <w:pStyle w:val="88"/>
      </w:pPr>
    </w:p>
    <w:p>
      <w:pPr>
        <w:pStyle w:val="88"/>
      </w:pPr>
    </w:p>
    <w:p>
      <w:pPr>
        <w:pStyle w:val="88"/>
      </w:pPr>
    </w:p>
    <w:p>
      <w:pPr>
        <w:pStyle w:val="88"/>
      </w:pPr>
    </w:p>
    <w:p>
      <w:pPr>
        <w:pStyle w:val="88"/>
      </w:pPr>
    </w:p>
    <w:p>
      <w:pPr>
        <w:pStyle w:val="88"/>
      </w:pPr>
    </w:p>
    <w:p>
      <w:pPr>
        <w:pStyle w:val="88"/>
        <w:sectPr>
          <w:pgSz w:w="11906" w:h="16838"/>
          <w:pgMar w:top="1440" w:right="1797" w:bottom="1440" w:left="1797" w:header="851" w:footer="992" w:gutter="0"/>
          <w:pgNumType w:start="1"/>
          <w:cols w:space="425" w:num="1"/>
          <w:docGrid w:linePitch="312" w:charSpace="0"/>
        </w:sectPr>
      </w:pPr>
    </w:p>
    <w:p>
      <w:pPr>
        <w:pStyle w:val="87"/>
        <w:rPr>
          <w:sz w:val="21"/>
          <w:szCs w:val="21"/>
        </w:rPr>
      </w:pPr>
      <w:bookmarkStart w:id="31" w:name="_Toc131325349"/>
      <w:r>
        <w:rPr>
          <w:rFonts w:hint="eastAsia"/>
          <w:sz w:val="21"/>
          <w:szCs w:val="21"/>
        </w:rPr>
        <w:t>附录A：常用非合金钢及细晶粒钢药芯焊丝化学成分和力学性能</w:t>
      </w:r>
      <w:bookmarkEnd w:id="31"/>
      <w:r>
        <w:rPr>
          <w:rFonts w:hint="eastAsia"/>
          <w:sz w:val="21"/>
          <w:szCs w:val="21"/>
        </w:rPr>
        <w:t xml:space="preserve"> </w:t>
      </w:r>
      <w:r>
        <w:rPr>
          <w:sz w:val="21"/>
          <w:szCs w:val="21"/>
        </w:rPr>
        <w:t xml:space="preserve"> </w:t>
      </w:r>
    </w:p>
    <w:p>
      <w:pPr>
        <w:pStyle w:val="87"/>
        <w:jc w:val="center"/>
        <w:rPr>
          <w:sz w:val="21"/>
          <w:szCs w:val="21"/>
        </w:rPr>
      </w:pPr>
      <w:bookmarkStart w:id="32" w:name="_Toc131325350"/>
      <w:r>
        <w:rPr>
          <w:rFonts w:hint="eastAsia"/>
          <w:sz w:val="21"/>
          <w:szCs w:val="21"/>
        </w:rPr>
        <w:t>表 A.</w:t>
      </w:r>
      <w:r>
        <w:rPr>
          <w:sz w:val="21"/>
          <w:szCs w:val="21"/>
        </w:rPr>
        <w:t>1</w:t>
      </w:r>
      <w:r>
        <w:rPr>
          <w:rFonts w:hint="eastAsia"/>
          <w:sz w:val="21"/>
          <w:szCs w:val="21"/>
        </w:rPr>
        <w:t>非合金钢及细晶粒钢药芯焊丝熔敷金属化学成分</w:t>
      </w:r>
      <w:bookmarkEnd w:id="32"/>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682"/>
        <w:gridCol w:w="840"/>
        <w:gridCol w:w="840"/>
        <w:gridCol w:w="729"/>
        <w:gridCol w:w="729"/>
        <w:gridCol w:w="840"/>
        <w:gridCol w:w="840"/>
        <w:gridCol w:w="840"/>
        <w:gridCol w:w="729"/>
        <w:gridCol w:w="8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vAlign w:val="center"/>
          </w:tcPr>
          <w:p>
            <w:pPr>
              <w:rPr>
                <w:kern w:val="0"/>
                <w:sz w:val="21"/>
                <w:szCs w:val="21"/>
              </w:rPr>
            </w:pPr>
            <w:r>
              <w:rPr>
                <w:rFonts w:hint="eastAsia"/>
                <w:kern w:val="0"/>
                <w:sz w:val="21"/>
                <w:szCs w:val="21"/>
              </w:rPr>
              <w:t>化学成分分类</w:t>
            </w:r>
          </w:p>
        </w:tc>
        <w:tc>
          <w:tcPr>
            <w:tcW w:w="7973" w:type="dxa"/>
            <w:gridSpan w:val="11"/>
            <w:vAlign w:val="center"/>
          </w:tcPr>
          <w:p>
            <w:pPr>
              <w:jc w:val="center"/>
              <w:rPr>
                <w:kern w:val="0"/>
                <w:sz w:val="21"/>
                <w:szCs w:val="21"/>
              </w:rPr>
            </w:pPr>
            <w:r>
              <w:rPr>
                <w:rFonts w:hint="eastAsia"/>
                <w:kern w:val="0"/>
                <w:sz w:val="21"/>
                <w:szCs w:val="21"/>
              </w:rPr>
              <w:t>化学成分（质量分数，wt%）</w:t>
            </w:r>
            <w:r>
              <w:rPr>
                <w:rFonts w:hint="eastAsia"/>
                <w:kern w:val="0"/>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rPr>
                <w:kern w:val="0"/>
                <w:sz w:val="21"/>
                <w:szCs w:val="21"/>
              </w:rPr>
            </w:pPr>
          </w:p>
        </w:tc>
        <w:tc>
          <w:tcPr>
            <w:tcW w:w="646" w:type="dxa"/>
            <w:vAlign w:val="center"/>
          </w:tcPr>
          <w:p>
            <w:pPr>
              <w:jc w:val="center"/>
              <w:rPr>
                <w:kern w:val="0"/>
                <w:sz w:val="21"/>
                <w:szCs w:val="21"/>
              </w:rPr>
            </w:pPr>
            <w:r>
              <w:rPr>
                <w:rFonts w:hint="eastAsia"/>
                <w:kern w:val="0"/>
                <w:sz w:val="21"/>
                <w:szCs w:val="21"/>
              </w:rPr>
              <w:t>C</w:t>
            </w:r>
          </w:p>
        </w:tc>
        <w:tc>
          <w:tcPr>
            <w:tcW w:w="794" w:type="dxa"/>
            <w:vAlign w:val="center"/>
          </w:tcPr>
          <w:p>
            <w:pPr>
              <w:jc w:val="center"/>
              <w:rPr>
                <w:kern w:val="0"/>
                <w:sz w:val="21"/>
                <w:szCs w:val="21"/>
              </w:rPr>
            </w:pPr>
            <w:r>
              <w:rPr>
                <w:rFonts w:hint="eastAsia"/>
                <w:kern w:val="0"/>
                <w:sz w:val="21"/>
                <w:szCs w:val="21"/>
              </w:rPr>
              <w:t>Mn</w:t>
            </w:r>
          </w:p>
        </w:tc>
        <w:tc>
          <w:tcPr>
            <w:tcW w:w="794" w:type="dxa"/>
            <w:vAlign w:val="center"/>
          </w:tcPr>
          <w:p>
            <w:pPr>
              <w:jc w:val="center"/>
              <w:rPr>
                <w:kern w:val="0"/>
                <w:sz w:val="21"/>
                <w:szCs w:val="21"/>
              </w:rPr>
            </w:pPr>
            <w:r>
              <w:rPr>
                <w:rFonts w:hint="eastAsia"/>
                <w:kern w:val="0"/>
                <w:sz w:val="21"/>
                <w:szCs w:val="21"/>
              </w:rPr>
              <w:t>Si</w:t>
            </w:r>
          </w:p>
        </w:tc>
        <w:tc>
          <w:tcPr>
            <w:tcW w:w="689" w:type="dxa"/>
            <w:vAlign w:val="center"/>
          </w:tcPr>
          <w:p>
            <w:pPr>
              <w:jc w:val="center"/>
              <w:rPr>
                <w:kern w:val="0"/>
                <w:sz w:val="21"/>
                <w:szCs w:val="21"/>
              </w:rPr>
            </w:pPr>
            <w:r>
              <w:rPr>
                <w:rFonts w:hint="eastAsia"/>
                <w:kern w:val="0"/>
                <w:sz w:val="21"/>
                <w:szCs w:val="21"/>
              </w:rPr>
              <w:t>P</w:t>
            </w:r>
          </w:p>
        </w:tc>
        <w:tc>
          <w:tcPr>
            <w:tcW w:w="689" w:type="dxa"/>
            <w:vAlign w:val="center"/>
          </w:tcPr>
          <w:p>
            <w:pPr>
              <w:jc w:val="center"/>
              <w:rPr>
                <w:kern w:val="0"/>
                <w:sz w:val="21"/>
                <w:szCs w:val="21"/>
              </w:rPr>
            </w:pPr>
            <w:r>
              <w:rPr>
                <w:rFonts w:hint="eastAsia"/>
                <w:kern w:val="0"/>
                <w:sz w:val="21"/>
                <w:szCs w:val="21"/>
              </w:rPr>
              <w:t>S</w:t>
            </w:r>
          </w:p>
        </w:tc>
        <w:tc>
          <w:tcPr>
            <w:tcW w:w="794" w:type="dxa"/>
            <w:vAlign w:val="center"/>
          </w:tcPr>
          <w:p>
            <w:pPr>
              <w:jc w:val="center"/>
              <w:rPr>
                <w:kern w:val="0"/>
                <w:sz w:val="21"/>
                <w:szCs w:val="21"/>
              </w:rPr>
            </w:pPr>
            <w:r>
              <w:rPr>
                <w:rFonts w:hint="eastAsia"/>
                <w:kern w:val="0"/>
                <w:sz w:val="21"/>
                <w:szCs w:val="21"/>
              </w:rPr>
              <w:t>Ni</w:t>
            </w:r>
          </w:p>
        </w:tc>
        <w:tc>
          <w:tcPr>
            <w:tcW w:w="794" w:type="dxa"/>
            <w:vAlign w:val="center"/>
          </w:tcPr>
          <w:p>
            <w:pPr>
              <w:jc w:val="center"/>
              <w:rPr>
                <w:kern w:val="0"/>
                <w:sz w:val="21"/>
                <w:szCs w:val="21"/>
              </w:rPr>
            </w:pPr>
            <w:r>
              <w:rPr>
                <w:rFonts w:hint="eastAsia"/>
                <w:kern w:val="0"/>
                <w:sz w:val="21"/>
                <w:szCs w:val="21"/>
              </w:rPr>
              <w:t>Cr</w:t>
            </w:r>
          </w:p>
        </w:tc>
        <w:tc>
          <w:tcPr>
            <w:tcW w:w="794" w:type="dxa"/>
            <w:vAlign w:val="center"/>
          </w:tcPr>
          <w:p>
            <w:pPr>
              <w:jc w:val="center"/>
              <w:rPr>
                <w:kern w:val="0"/>
                <w:sz w:val="21"/>
                <w:szCs w:val="21"/>
              </w:rPr>
            </w:pPr>
            <w:r>
              <w:rPr>
                <w:rFonts w:hint="eastAsia"/>
                <w:kern w:val="0"/>
                <w:sz w:val="21"/>
                <w:szCs w:val="21"/>
              </w:rPr>
              <w:t>Mo</w:t>
            </w:r>
          </w:p>
        </w:tc>
        <w:tc>
          <w:tcPr>
            <w:tcW w:w="689" w:type="dxa"/>
            <w:vAlign w:val="center"/>
          </w:tcPr>
          <w:p>
            <w:pPr>
              <w:jc w:val="center"/>
              <w:rPr>
                <w:kern w:val="0"/>
                <w:sz w:val="21"/>
                <w:szCs w:val="21"/>
              </w:rPr>
            </w:pPr>
            <w:r>
              <w:rPr>
                <w:rFonts w:hint="eastAsia"/>
                <w:kern w:val="0"/>
                <w:sz w:val="21"/>
                <w:szCs w:val="21"/>
              </w:rPr>
              <w:t>V</w:t>
            </w:r>
          </w:p>
        </w:tc>
        <w:tc>
          <w:tcPr>
            <w:tcW w:w="794" w:type="dxa"/>
            <w:vAlign w:val="center"/>
          </w:tcPr>
          <w:p>
            <w:pPr>
              <w:jc w:val="center"/>
              <w:rPr>
                <w:kern w:val="0"/>
                <w:sz w:val="21"/>
                <w:szCs w:val="21"/>
              </w:rPr>
            </w:pPr>
            <w:r>
              <w:rPr>
                <w:rFonts w:hint="eastAsia"/>
                <w:kern w:val="0"/>
                <w:sz w:val="21"/>
                <w:szCs w:val="21"/>
              </w:rPr>
              <w:t>Cu</w:t>
            </w:r>
          </w:p>
        </w:tc>
        <w:tc>
          <w:tcPr>
            <w:tcW w:w="496" w:type="dxa"/>
            <w:vAlign w:val="center"/>
          </w:tcPr>
          <w:p>
            <w:pPr>
              <w:jc w:val="center"/>
              <w:rPr>
                <w:kern w:val="0"/>
                <w:sz w:val="21"/>
                <w:szCs w:val="21"/>
              </w:rPr>
            </w:pPr>
            <w:r>
              <w:rPr>
                <w:rFonts w:hint="eastAsia"/>
                <w:kern w:val="0"/>
                <w:sz w:val="21"/>
                <w:szCs w:val="21"/>
              </w:rPr>
              <w:t>Al</w:t>
            </w:r>
            <w:r>
              <w:rPr>
                <w:rFonts w:hint="eastAsia"/>
                <w:kern w:val="0"/>
                <w:sz w:val="21"/>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无标记</w:t>
            </w:r>
          </w:p>
        </w:tc>
        <w:tc>
          <w:tcPr>
            <w:tcW w:w="646" w:type="dxa"/>
            <w:vAlign w:val="center"/>
          </w:tcPr>
          <w:p>
            <w:pPr>
              <w:jc w:val="center"/>
              <w:rPr>
                <w:kern w:val="0"/>
                <w:sz w:val="21"/>
                <w:szCs w:val="21"/>
              </w:rPr>
            </w:pPr>
            <w:r>
              <w:rPr>
                <w:rFonts w:hint="eastAsia"/>
                <w:kern w:val="0"/>
                <w:sz w:val="21"/>
                <w:szCs w:val="21"/>
              </w:rPr>
              <w:t>0.18</w:t>
            </w:r>
            <w:r>
              <w:rPr>
                <w:rFonts w:hint="eastAsia"/>
                <w:kern w:val="0"/>
                <w:sz w:val="21"/>
                <w:szCs w:val="21"/>
                <w:vertAlign w:val="superscript"/>
              </w:rPr>
              <w:t>c</w:t>
            </w:r>
          </w:p>
        </w:tc>
        <w:tc>
          <w:tcPr>
            <w:tcW w:w="794" w:type="dxa"/>
            <w:vAlign w:val="center"/>
          </w:tcPr>
          <w:p>
            <w:pPr>
              <w:jc w:val="center"/>
              <w:rPr>
                <w:kern w:val="0"/>
                <w:sz w:val="21"/>
                <w:szCs w:val="21"/>
              </w:rPr>
            </w:pPr>
            <w:r>
              <w:rPr>
                <w:rFonts w:hint="eastAsia"/>
                <w:kern w:val="0"/>
                <w:sz w:val="21"/>
                <w:szCs w:val="21"/>
              </w:rPr>
              <w:t>2.00</w:t>
            </w:r>
          </w:p>
        </w:tc>
        <w:tc>
          <w:tcPr>
            <w:tcW w:w="794" w:type="dxa"/>
            <w:vAlign w:val="center"/>
          </w:tcPr>
          <w:p>
            <w:pPr>
              <w:jc w:val="center"/>
              <w:rPr>
                <w:kern w:val="0"/>
                <w:sz w:val="21"/>
                <w:szCs w:val="21"/>
              </w:rPr>
            </w:pPr>
            <w:r>
              <w:rPr>
                <w:rFonts w:hint="eastAsia"/>
                <w:kern w:val="0"/>
                <w:sz w:val="21"/>
                <w:szCs w:val="21"/>
              </w:rPr>
              <w:t>0.90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0.50d</w:t>
            </w:r>
          </w:p>
        </w:tc>
        <w:tc>
          <w:tcPr>
            <w:tcW w:w="794" w:type="dxa"/>
            <w:vAlign w:val="center"/>
          </w:tcPr>
          <w:p>
            <w:pPr>
              <w:jc w:val="center"/>
              <w:rPr>
                <w:kern w:val="0"/>
                <w:sz w:val="21"/>
                <w:szCs w:val="21"/>
              </w:rPr>
            </w:pPr>
            <w:r>
              <w:rPr>
                <w:rFonts w:hint="eastAsia"/>
                <w:kern w:val="0"/>
                <w:sz w:val="21"/>
                <w:szCs w:val="21"/>
              </w:rPr>
              <w:t>0.20d</w:t>
            </w:r>
          </w:p>
        </w:tc>
        <w:tc>
          <w:tcPr>
            <w:tcW w:w="794" w:type="dxa"/>
            <w:vAlign w:val="center"/>
          </w:tcPr>
          <w:p>
            <w:pPr>
              <w:jc w:val="center"/>
              <w:rPr>
                <w:kern w:val="0"/>
                <w:sz w:val="21"/>
                <w:szCs w:val="21"/>
              </w:rPr>
            </w:pPr>
            <w:r>
              <w:rPr>
                <w:rFonts w:hint="eastAsia"/>
                <w:kern w:val="0"/>
                <w:sz w:val="21"/>
                <w:szCs w:val="21"/>
              </w:rPr>
              <w:t>0.30d</w:t>
            </w:r>
          </w:p>
        </w:tc>
        <w:tc>
          <w:tcPr>
            <w:tcW w:w="689" w:type="dxa"/>
            <w:vAlign w:val="center"/>
          </w:tcPr>
          <w:p>
            <w:pPr>
              <w:jc w:val="center"/>
              <w:rPr>
                <w:kern w:val="0"/>
                <w:sz w:val="21"/>
                <w:szCs w:val="21"/>
              </w:rPr>
            </w:pPr>
            <w:r>
              <w:rPr>
                <w:rFonts w:hint="eastAsia"/>
                <w:kern w:val="0"/>
                <w:sz w:val="21"/>
                <w:szCs w:val="21"/>
              </w:rPr>
              <w:t>0.08d</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K</w:t>
            </w:r>
          </w:p>
        </w:tc>
        <w:tc>
          <w:tcPr>
            <w:tcW w:w="646" w:type="dxa"/>
            <w:vAlign w:val="center"/>
          </w:tcPr>
          <w:p>
            <w:pPr>
              <w:jc w:val="center"/>
              <w:rPr>
                <w:kern w:val="0"/>
                <w:sz w:val="21"/>
                <w:szCs w:val="21"/>
              </w:rPr>
            </w:pPr>
            <w:r>
              <w:rPr>
                <w:rFonts w:hint="eastAsia"/>
                <w:kern w:val="0"/>
                <w:sz w:val="21"/>
                <w:szCs w:val="21"/>
              </w:rPr>
              <w:t>0.20</w:t>
            </w:r>
          </w:p>
        </w:tc>
        <w:tc>
          <w:tcPr>
            <w:tcW w:w="794" w:type="dxa"/>
            <w:vAlign w:val="center"/>
          </w:tcPr>
          <w:p>
            <w:pPr>
              <w:jc w:val="center"/>
              <w:rPr>
                <w:kern w:val="0"/>
                <w:sz w:val="21"/>
                <w:szCs w:val="21"/>
              </w:rPr>
            </w:pPr>
            <w:r>
              <w:rPr>
                <w:rFonts w:hint="eastAsia"/>
                <w:kern w:val="0"/>
                <w:sz w:val="21"/>
                <w:szCs w:val="21"/>
              </w:rPr>
              <w:t>1.60</w:t>
            </w:r>
          </w:p>
        </w:tc>
        <w:tc>
          <w:tcPr>
            <w:tcW w:w="794" w:type="dxa"/>
            <w:vAlign w:val="center"/>
          </w:tcPr>
          <w:p>
            <w:pPr>
              <w:jc w:val="center"/>
              <w:rPr>
                <w:kern w:val="0"/>
                <w:sz w:val="21"/>
                <w:szCs w:val="21"/>
              </w:rPr>
            </w:pPr>
            <w:r>
              <w:rPr>
                <w:rFonts w:hint="eastAsia"/>
                <w:kern w:val="0"/>
                <w:sz w:val="21"/>
                <w:szCs w:val="21"/>
              </w:rPr>
              <w:t>1.00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0.50d</w:t>
            </w:r>
          </w:p>
        </w:tc>
        <w:tc>
          <w:tcPr>
            <w:tcW w:w="794" w:type="dxa"/>
            <w:vAlign w:val="center"/>
          </w:tcPr>
          <w:p>
            <w:pPr>
              <w:jc w:val="center"/>
              <w:rPr>
                <w:kern w:val="0"/>
                <w:sz w:val="21"/>
                <w:szCs w:val="21"/>
              </w:rPr>
            </w:pPr>
            <w:r>
              <w:rPr>
                <w:rFonts w:hint="eastAsia"/>
                <w:kern w:val="0"/>
                <w:sz w:val="21"/>
                <w:szCs w:val="21"/>
              </w:rPr>
              <w:t>0.20d</w:t>
            </w:r>
          </w:p>
        </w:tc>
        <w:tc>
          <w:tcPr>
            <w:tcW w:w="794" w:type="dxa"/>
            <w:vAlign w:val="center"/>
          </w:tcPr>
          <w:p>
            <w:pPr>
              <w:jc w:val="center"/>
              <w:rPr>
                <w:kern w:val="0"/>
                <w:sz w:val="21"/>
                <w:szCs w:val="21"/>
              </w:rPr>
            </w:pPr>
            <w:r>
              <w:rPr>
                <w:rFonts w:hint="eastAsia"/>
                <w:kern w:val="0"/>
                <w:sz w:val="21"/>
                <w:szCs w:val="21"/>
              </w:rPr>
              <w:t>0.30d</w:t>
            </w:r>
          </w:p>
        </w:tc>
        <w:tc>
          <w:tcPr>
            <w:tcW w:w="689" w:type="dxa"/>
            <w:vAlign w:val="center"/>
          </w:tcPr>
          <w:p>
            <w:pPr>
              <w:jc w:val="center"/>
              <w:rPr>
                <w:kern w:val="0"/>
                <w:sz w:val="21"/>
                <w:szCs w:val="21"/>
              </w:rPr>
            </w:pPr>
            <w:r>
              <w:rPr>
                <w:rFonts w:hint="eastAsia"/>
                <w:kern w:val="0"/>
                <w:sz w:val="21"/>
                <w:szCs w:val="21"/>
              </w:rPr>
              <w:t>0.08d</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2M3</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1.50</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0.40～0.65</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3M2</w:t>
            </w:r>
          </w:p>
        </w:tc>
        <w:tc>
          <w:tcPr>
            <w:tcW w:w="646" w:type="dxa"/>
            <w:vAlign w:val="center"/>
          </w:tcPr>
          <w:p>
            <w:pPr>
              <w:jc w:val="center"/>
              <w:rPr>
                <w:kern w:val="0"/>
                <w:sz w:val="21"/>
                <w:szCs w:val="21"/>
              </w:rPr>
            </w:pPr>
            <w:r>
              <w:rPr>
                <w:rFonts w:hint="eastAsia"/>
                <w:kern w:val="0"/>
                <w:sz w:val="21"/>
                <w:szCs w:val="21"/>
              </w:rPr>
              <w:t>0.15</w:t>
            </w:r>
          </w:p>
        </w:tc>
        <w:tc>
          <w:tcPr>
            <w:tcW w:w="794" w:type="dxa"/>
            <w:vAlign w:val="center"/>
          </w:tcPr>
          <w:p>
            <w:pPr>
              <w:jc w:val="center"/>
              <w:rPr>
                <w:kern w:val="0"/>
                <w:sz w:val="21"/>
                <w:szCs w:val="21"/>
              </w:rPr>
            </w:pPr>
            <w:r>
              <w:rPr>
                <w:rFonts w:hint="eastAsia"/>
                <w:kern w:val="0"/>
                <w:sz w:val="21"/>
                <w:szCs w:val="21"/>
              </w:rPr>
              <w:t>1.25～2.00</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w:t>
            </w:r>
            <w:r>
              <w:rPr>
                <w:kern w:val="0"/>
                <w:sz w:val="21"/>
                <w:szCs w:val="21"/>
              </w:rPr>
              <w:t>25</w:t>
            </w:r>
            <w:r>
              <w:rPr>
                <w:rFonts w:hint="eastAsia"/>
                <w:kern w:val="0"/>
                <w:sz w:val="21"/>
                <w:szCs w:val="21"/>
              </w:rPr>
              <w:t>～0.</w:t>
            </w:r>
            <w:r>
              <w:rPr>
                <w:kern w:val="0"/>
                <w:sz w:val="21"/>
                <w:szCs w:val="21"/>
              </w:rPr>
              <w:t>5</w:t>
            </w:r>
            <w:r>
              <w:rPr>
                <w:rFonts w:hint="eastAsia"/>
                <w:kern w:val="0"/>
                <w:sz w:val="21"/>
                <w:szCs w:val="21"/>
              </w:rPr>
              <w:t>5</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N1</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1.75</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0.30～1.00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0.35</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N2</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1.75</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0.80～1.20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0.35</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N3</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1.75</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1.00～2.00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0.35</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N5</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1.75</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1.75～2.75</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N7</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1.75</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2.75～3.75</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CC</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0.60～1.40</w:t>
            </w:r>
          </w:p>
        </w:tc>
        <w:tc>
          <w:tcPr>
            <w:tcW w:w="794" w:type="dxa"/>
            <w:vAlign w:val="center"/>
          </w:tcPr>
          <w:p>
            <w:pPr>
              <w:jc w:val="center"/>
              <w:rPr>
                <w:kern w:val="0"/>
                <w:sz w:val="21"/>
                <w:szCs w:val="21"/>
              </w:rPr>
            </w:pPr>
            <w:r>
              <w:rPr>
                <w:rFonts w:hint="eastAsia"/>
                <w:kern w:val="0"/>
                <w:sz w:val="21"/>
                <w:szCs w:val="21"/>
              </w:rPr>
              <w:t>0.20～0.80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0.30～0.60</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0.20～0.50</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65" w:type="dxa"/>
            <w:vAlign w:val="center"/>
          </w:tcPr>
          <w:p>
            <w:pPr>
              <w:rPr>
                <w:kern w:val="0"/>
                <w:sz w:val="21"/>
                <w:szCs w:val="21"/>
              </w:rPr>
            </w:pPr>
            <w:r>
              <w:rPr>
                <w:rFonts w:hint="eastAsia"/>
                <w:kern w:val="0"/>
                <w:sz w:val="21"/>
                <w:szCs w:val="21"/>
              </w:rPr>
              <w:t>NCC</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0.60～1.40</w:t>
            </w:r>
          </w:p>
        </w:tc>
        <w:tc>
          <w:tcPr>
            <w:tcW w:w="794" w:type="dxa"/>
            <w:vAlign w:val="center"/>
          </w:tcPr>
          <w:p>
            <w:pPr>
              <w:jc w:val="center"/>
              <w:rPr>
                <w:kern w:val="0"/>
                <w:sz w:val="21"/>
                <w:szCs w:val="21"/>
              </w:rPr>
            </w:pPr>
            <w:r>
              <w:rPr>
                <w:rFonts w:hint="eastAsia"/>
                <w:kern w:val="0"/>
                <w:sz w:val="21"/>
                <w:szCs w:val="21"/>
              </w:rPr>
              <w:t>0.20～0.80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0.10～0.45</w:t>
            </w:r>
          </w:p>
        </w:tc>
        <w:tc>
          <w:tcPr>
            <w:tcW w:w="794" w:type="dxa"/>
            <w:vAlign w:val="center"/>
          </w:tcPr>
          <w:p>
            <w:pPr>
              <w:jc w:val="center"/>
              <w:rPr>
                <w:kern w:val="0"/>
                <w:sz w:val="21"/>
                <w:szCs w:val="21"/>
              </w:rPr>
            </w:pPr>
            <w:r>
              <w:rPr>
                <w:rFonts w:hint="eastAsia"/>
                <w:kern w:val="0"/>
                <w:sz w:val="21"/>
                <w:szCs w:val="21"/>
              </w:rPr>
              <w:t>0.45～0.75</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0.30～0.75</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NCC1</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0.50～1.30</w:t>
            </w:r>
          </w:p>
        </w:tc>
        <w:tc>
          <w:tcPr>
            <w:tcW w:w="794" w:type="dxa"/>
            <w:vAlign w:val="center"/>
          </w:tcPr>
          <w:p>
            <w:pPr>
              <w:jc w:val="center"/>
              <w:rPr>
                <w:kern w:val="0"/>
                <w:sz w:val="21"/>
                <w:szCs w:val="21"/>
              </w:rPr>
            </w:pPr>
            <w:r>
              <w:rPr>
                <w:rFonts w:hint="eastAsia"/>
                <w:kern w:val="0"/>
                <w:sz w:val="21"/>
                <w:szCs w:val="21"/>
              </w:rPr>
              <w:t>0.20～0.80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0.30～0.80</w:t>
            </w:r>
          </w:p>
        </w:tc>
        <w:tc>
          <w:tcPr>
            <w:tcW w:w="794" w:type="dxa"/>
            <w:vAlign w:val="center"/>
          </w:tcPr>
          <w:p>
            <w:pPr>
              <w:jc w:val="center"/>
              <w:rPr>
                <w:kern w:val="0"/>
                <w:sz w:val="21"/>
                <w:szCs w:val="21"/>
              </w:rPr>
            </w:pPr>
            <w:r>
              <w:rPr>
                <w:rFonts w:hint="eastAsia"/>
                <w:kern w:val="0"/>
                <w:sz w:val="21"/>
                <w:szCs w:val="21"/>
              </w:rPr>
              <w:t>0.45～0.75</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0.30～0.75</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65" w:type="dxa"/>
            <w:vAlign w:val="center"/>
          </w:tcPr>
          <w:p>
            <w:pPr>
              <w:rPr>
                <w:kern w:val="0"/>
                <w:sz w:val="21"/>
                <w:szCs w:val="21"/>
              </w:rPr>
            </w:pPr>
            <w:r>
              <w:rPr>
                <w:rFonts w:hint="eastAsia"/>
                <w:kern w:val="0"/>
                <w:sz w:val="21"/>
                <w:szCs w:val="21"/>
              </w:rPr>
              <w:t>NCC2</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0.80～1.60</w:t>
            </w:r>
          </w:p>
        </w:tc>
        <w:tc>
          <w:tcPr>
            <w:tcW w:w="794" w:type="dxa"/>
            <w:vAlign w:val="center"/>
          </w:tcPr>
          <w:p>
            <w:pPr>
              <w:jc w:val="center"/>
              <w:rPr>
                <w:kern w:val="0"/>
                <w:sz w:val="21"/>
                <w:szCs w:val="21"/>
              </w:rPr>
            </w:pPr>
            <w:r>
              <w:rPr>
                <w:rFonts w:hint="eastAsia"/>
                <w:kern w:val="0"/>
                <w:sz w:val="21"/>
                <w:szCs w:val="21"/>
              </w:rPr>
              <w:t>0.20～0.80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0.30～0.80</w:t>
            </w:r>
          </w:p>
        </w:tc>
        <w:tc>
          <w:tcPr>
            <w:tcW w:w="794" w:type="dxa"/>
            <w:vAlign w:val="center"/>
          </w:tcPr>
          <w:p>
            <w:pPr>
              <w:jc w:val="center"/>
              <w:rPr>
                <w:kern w:val="0"/>
                <w:sz w:val="21"/>
                <w:szCs w:val="21"/>
              </w:rPr>
            </w:pPr>
            <w:r>
              <w:rPr>
                <w:rFonts w:hint="eastAsia"/>
                <w:kern w:val="0"/>
                <w:sz w:val="21"/>
                <w:szCs w:val="21"/>
              </w:rPr>
              <w:t>0.10～0.40</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0.20～0.50</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NCC3</w:t>
            </w:r>
          </w:p>
        </w:tc>
        <w:tc>
          <w:tcPr>
            <w:tcW w:w="646" w:type="dxa"/>
            <w:vAlign w:val="center"/>
          </w:tcPr>
          <w:p>
            <w:pPr>
              <w:jc w:val="center"/>
              <w:rPr>
                <w:kern w:val="0"/>
                <w:sz w:val="21"/>
                <w:szCs w:val="21"/>
              </w:rPr>
            </w:pPr>
            <w:r>
              <w:rPr>
                <w:rFonts w:hint="eastAsia"/>
                <w:kern w:val="0"/>
                <w:sz w:val="21"/>
                <w:szCs w:val="21"/>
              </w:rPr>
              <w:t>0.12</w:t>
            </w:r>
          </w:p>
        </w:tc>
        <w:tc>
          <w:tcPr>
            <w:tcW w:w="794" w:type="dxa"/>
            <w:vAlign w:val="center"/>
          </w:tcPr>
          <w:p>
            <w:pPr>
              <w:jc w:val="center"/>
              <w:rPr>
                <w:kern w:val="0"/>
                <w:sz w:val="21"/>
                <w:szCs w:val="21"/>
              </w:rPr>
            </w:pPr>
            <w:r>
              <w:rPr>
                <w:rFonts w:hint="eastAsia"/>
                <w:kern w:val="0"/>
                <w:sz w:val="21"/>
                <w:szCs w:val="21"/>
              </w:rPr>
              <w:t>0.80～1.60</w:t>
            </w:r>
          </w:p>
        </w:tc>
        <w:tc>
          <w:tcPr>
            <w:tcW w:w="794" w:type="dxa"/>
            <w:vAlign w:val="center"/>
          </w:tcPr>
          <w:p>
            <w:pPr>
              <w:jc w:val="center"/>
              <w:rPr>
                <w:kern w:val="0"/>
                <w:sz w:val="21"/>
                <w:szCs w:val="21"/>
              </w:rPr>
            </w:pPr>
            <w:r>
              <w:rPr>
                <w:rFonts w:hint="eastAsia"/>
                <w:kern w:val="0"/>
                <w:sz w:val="21"/>
                <w:szCs w:val="21"/>
              </w:rPr>
              <w:t>0.20～0.80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0.30～0.80</w:t>
            </w:r>
          </w:p>
        </w:tc>
        <w:tc>
          <w:tcPr>
            <w:tcW w:w="794" w:type="dxa"/>
            <w:vAlign w:val="center"/>
          </w:tcPr>
          <w:p>
            <w:pPr>
              <w:jc w:val="center"/>
              <w:rPr>
                <w:kern w:val="0"/>
                <w:sz w:val="21"/>
                <w:szCs w:val="21"/>
              </w:rPr>
            </w:pPr>
            <w:r>
              <w:rPr>
                <w:rFonts w:hint="eastAsia"/>
                <w:kern w:val="0"/>
                <w:sz w:val="21"/>
                <w:szCs w:val="21"/>
              </w:rPr>
              <w:t>0.45～0.75</w:t>
            </w:r>
          </w:p>
        </w:tc>
        <w:tc>
          <w:tcPr>
            <w:tcW w:w="794" w:type="dxa"/>
            <w:vAlign w:val="center"/>
          </w:tcPr>
          <w:p>
            <w:pPr>
              <w:jc w:val="center"/>
              <w:rPr>
                <w:kern w:val="0"/>
                <w:sz w:val="21"/>
                <w:szCs w:val="21"/>
              </w:rPr>
            </w:pPr>
            <w:r>
              <w:rPr>
                <w:rFonts w:hint="eastAsia"/>
                <w:kern w:val="0"/>
                <w:sz w:val="21"/>
                <w:szCs w:val="21"/>
              </w:rPr>
              <w:t>—</w:t>
            </w:r>
          </w:p>
        </w:tc>
        <w:tc>
          <w:tcPr>
            <w:tcW w:w="689" w:type="dxa"/>
            <w:vAlign w:val="center"/>
          </w:tcPr>
          <w:p>
            <w:pPr>
              <w:jc w:val="center"/>
              <w:rPr>
                <w:kern w:val="0"/>
                <w:sz w:val="21"/>
                <w:szCs w:val="21"/>
              </w:rPr>
            </w:pPr>
            <w:r>
              <w:rPr>
                <w:rFonts w:hint="eastAsia"/>
                <w:kern w:val="0"/>
                <w:sz w:val="21"/>
                <w:szCs w:val="21"/>
              </w:rPr>
              <w:t>—</w:t>
            </w:r>
          </w:p>
        </w:tc>
        <w:tc>
          <w:tcPr>
            <w:tcW w:w="794" w:type="dxa"/>
            <w:vAlign w:val="center"/>
          </w:tcPr>
          <w:p>
            <w:pPr>
              <w:jc w:val="center"/>
              <w:rPr>
                <w:kern w:val="0"/>
                <w:sz w:val="21"/>
                <w:szCs w:val="21"/>
              </w:rPr>
            </w:pPr>
            <w:r>
              <w:rPr>
                <w:rFonts w:hint="eastAsia"/>
                <w:kern w:val="0"/>
                <w:sz w:val="21"/>
                <w:szCs w:val="21"/>
              </w:rPr>
              <w:t>0.20～0.50</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65" w:type="dxa"/>
            <w:vAlign w:val="center"/>
          </w:tcPr>
          <w:p>
            <w:pPr>
              <w:rPr>
                <w:kern w:val="0"/>
                <w:sz w:val="21"/>
                <w:szCs w:val="21"/>
              </w:rPr>
            </w:pPr>
            <w:r>
              <w:rPr>
                <w:rFonts w:hint="eastAsia"/>
                <w:kern w:val="0"/>
                <w:sz w:val="21"/>
                <w:szCs w:val="21"/>
              </w:rPr>
              <w:t>N1M2</w:t>
            </w:r>
          </w:p>
        </w:tc>
        <w:tc>
          <w:tcPr>
            <w:tcW w:w="646" w:type="dxa"/>
            <w:vAlign w:val="center"/>
          </w:tcPr>
          <w:p>
            <w:pPr>
              <w:jc w:val="center"/>
              <w:rPr>
                <w:kern w:val="0"/>
                <w:sz w:val="21"/>
                <w:szCs w:val="21"/>
              </w:rPr>
            </w:pPr>
            <w:r>
              <w:rPr>
                <w:rFonts w:hint="eastAsia"/>
                <w:kern w:val="0"/>
                <w:sz w:val="21"/>
                <w:szCs w:val="21"/>
              </w:rPr>
              <w:t>0.15</w:t>
            </w:r>
          </w:p>
        </w:tc>
        <w:tc>
          <w:tcPr>
            <w:tcW w:w="794" w:type="dxa"/>
            <w:vAlign w:val="center"/>
          </w:tcPr>
          <w:p>
            <w:pPr>
              <w:jc w:val="center"/>
              <w:rPr>
                <w:kern w:val="0"/>
                <w:sz w:val="21"/>
                <w:szCs w:val="21"/>
              </w:rPr>
            </w:pPr>
            <w:r>
              <w:rPr>
                <w:rFonts w:hint="eastAsia"/>
                <w:kern w:val="0"/>
                <w:sz w:val="21"/>
                <w:szCs w:val="21"/>
              </w:rPr>
              <w:t>2.00</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0.40～1.00</w:t>
            </w:r>
          </w:p>
        </w:tc>
        <w:tc>
          <w:tcPr>
            <w:tcW w:w="794" w:type="dxa"/>
            <w:vAlign w:val="center"/>
          </w:tcPr>
          <w:p>
            <w:pPr>
              <w:jc w:val="center"/>
              <w:rPr>
                <w:kern w:val="0"/>
                <w:sz w:val="21"/>
                <w:szCs w:val="21"/>
              </w:rPr>
            </w:pPr>
            <w:r>
              <w:rPr>
                <w:rFonts w:hint="eastAsia"/>
                <w:kern w:val="0"/>
                <w:sz w:val="21"/>
                <w:szCs w:val="21"/>
              </w:rPr>
              <w:t>0.20</w:t>
            </w:r>
          </w:p>
        </w:tc>
        <w:tc>
          <w:tcPr>
            <w:tcW w:w="794" w:type="dxa"/>
            <w:vAlign w:val="center"/>
          </w:tcPr>
          <w:p>
            <w:pPr>
              <w:jc w:val="center"/>
              <w:rPr>
                <w:kern w:val="0"/>
                <w:sz w:val="21"/>
                <w:szCs w:val="21"/>
              </w:rPr>
            </w:pPr>
            <w:r>
              <w:rPr>
                <w:rFonts w:hint="eastAsia"/>
                <w:kern w:val="0"/>
                <w:sz w:val="21"/>
                <w:szCs w:val="21"/>
              </w:rPr>
              <w:t>0.20～0.65</w:t>
            </w:r>
          </w:p>
        </w:tc>
        <w:tc>
          <w:tcPr>
            <w:tcW w:w="689" w:type="dxa"/>
            <w:vAlign w:val="center"/>
          </w:tcPr>
          <w:p>
            <w:pPr>
              <w:jc w:val="center"/>
              <w:rPr>
                <w:kern w:val="0"/>
                <w:sz w:val="21"/>
                <w:szCs w:val="21"/>
              </w:rPr>
            </w:pPr>
            <w:r>
              <w:rPr>
                <w:rFonts w:hint="eastAsia"/>
                <w:kern w:val="0"/>
                <w:sz w:val="21"/>
                <w:szCs w:val="21"/>
              </w:rPr>
              <w:t>0.05</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N2M2</w:t>
            </w:r>
          </w:p>
        </w:tc>
        <w:tc>
          <w:tcPr>
            <w:tcW w:w="646" w:type="dxa"/>
            <w:vAlign w:val="center"/>
          </w:tcPr>
          <w:p>
            <w:pPr>
              <w:jc w:val="center"/>
              <w:rPr>
                <w:kern w:val="0"/>
                <w:sz w:val="21"/>
                <w:szCs w:val="21"/>
              </w:rPr>
            </w:pPr>
            <w:r>
              <w:rPr>
                <w:rFonts w:hint="eastAsia"/>
                <w:kern w:val="0"/>
                <w:sz w:val="21"/>
                <w:szCs w:val="21"/>
              </w:rPr>
              <w:t>0.15</w:t>
            </w:r>
          </w:p>
        </w:tc>
        <w:tc>
          <w:tcPr>
            <w:tcW w:w="794" w:type="dxa"/>
            <w:vAlign w:val="center"/>
          </w:tcPr>
          <w:p>
            <w:pPr>
              <w:jc w:val="center"/>
              <w:rPr>
                <w:kern w:val="0"/>
                <w:sz w:val="21"/>
                <w:szCs w:val="21"/>
              </w:rPr>
            </w:pPr>
            <w:r>
              <w:rPr>
                <w:rFonts w:hint="eastAsia"/>
                <w:kern w:val="0"/>
                <w:sz w:val="21"/>
                <w:szCs w:val="21"/>
              </w:rPr>
              <w:t>2.00</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0.80～1.20</w:t>
            </w:r>
          </w:p>
        </w:tc>
        <w:tc>
          <w:tcPr>
            <w:tcW w:w="794" w:type="dxa"/>
            <w:vAlign w:val="center"/>
          </w:tcPr>
          <w:p>
            <w:pPr>
              <w:jc w:val="center"/>
              <w:rPr>
                <w:kern w:val="0"/>
                <w:sz w:val="21"/>
                <w:szCs w:val="21"/>
              </w:rPr>
            </w:pPr>
            <w:r>
              <w:rPr>
                <w:rFonts w:hint="eastAsia"/>
                <w:kern w:val="0"/>
                <w:sz w:val="21"/>
                <w:szCs w:val="21"/>
              </w:rPr>
              <w:t>0.20</w:t>
            </w:r>
          </w:p>
        </w:tc>
        <w:tc>
          <w:tcPr>
            <w:tcW w:w="794" w:type="dxa"/>
            <w:vAlign w:val="center"/>
          </w:tcPr>
          <w:p>
            <w:pPr>
              <w:jc w:val="center"/>
              <w:rPr>
                <w:kern w:val="0"/>
                <w:sz w:val="21"/>
                <w:szCs w:val="21"/>
              </w:rPr>
            </w:pPr>
            <w:r>
              <w:rPr>
                <w:rFonts w:hint="eastAsia"/>
                <w:kern w:val="0"/>
                <w:sz w:val="21"/>
                <w:szCs w:val="21"/>
              </w:rPr>
              <w:t>0.20～0.65</w:t>
            </w:r>
          </w:p>
        </w:tc>
        <w:tc>
          <w:tcPr>
            <w:tcW w:w="689" w:type="dxa"/>
            <w:vAlign w:val="center"/>
          </w:tcPr>
          <w:p>
            <w:pPr>
              <w:jc w:val="center"/>
              <w:rPr>
                <w:kern w:val="0"/>
                <w:sz w:val="21"/>
                <w:szCs w:val="21"/>
              </w:rPr>
            </w:pPr>
            <w:r>
              <w:rPr>
                <w:rFonts w:hint="eastAsia"/>
                <w:kern w:val="0"/>
                <w:sz w:val="21"/>
                <w:szCs w:val="21"/>
              </w:rPr>
              <w:t>0.05</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N3M2</w:t>
            </w:r>
          </w:p>
        </w:tc>
        <w:tc>
          <w:tcPr>
            <w:tcW w:w="646" w:type="dxa"/>
            <w:vAlign w:val="center"/>
          </w:tcPr>
          <w:p>
            <w:pPr>
              <w:jc w:val="center"/>
              <w:rPr>
                <w:kern w:val="0"/>
                <w:sz w:val="21"/>
                <w:szCs w:val="21"/>
              </w:rPr>
            </w:pPr>
            <w:r>
              <w:rPr>
                <w:rFonts w:hint="eastAsia"/>
                <w:kern w:val="0"/>
                <w:sz w:val="21"/>
                <w:szCs w:val="21"/>
              </w:rPr>
              <w:t>0.15</w:t>
            </w:r>
          </w:p>
        </w:tc>
        <w:tc>
          <w:tcPr>
            <w:tcW w:w="794" w:type="dxa"/>
            <w:vAlign w:val="center"/>
          </w:tcPr>
          <w:p>
            <w:pPr>
              <w:jc w:val="center"/>
              <w:rPr>
                <w:kern w:val="0"/>
                <w:sz w:val="21"/>
                <w:szCs w:val="21"/>
              </w:rPr>
            </w:pPr>
            <w:r>
              <w:rPr>
                <w:rFonts w:hint="eastAsia"/>
                <w:kern w:val="0"/>
                <w:sz w:val="21"/>
                <w:szCs w:val="21"/>
              </w:rPr>
              <w:t>2.00</w:t>
            </w:r>
          </w:p>
        </w:tc>
        <w:tc>
          <w:tcPr>
            <w:tcW w:w="794" w:type="dxa"/>
            <w:vAlign w:val="center"/>
          </w:tcPr>
          <w:p>
            <w:pPr>
              <w:jc w:val="center"/>
              <w:rPr>
                <w:kern w:val="0"/>
                <w:sz w:val="21"/>
                <w:szCs w:val="21"/>
              </w:rPr>
            </w:pPr>
            <w:r>
              <w:rPr>
                <w:rFonts w:hint="eastAsia"/>
                <w:kern w:val="0"/>
                <w:sz w:val="21"/>
                <w:szCs w:val="21"/>
              </w:rPr>
              <w:t>0.80</w:t>
            </w:r>
          </w:p>
        </w:tc>
        <w:tc>
          <w:tcPr>
            <w:tcW w:w="689" w:type="dxa"/>
            <w:vAlign w:val="center"/>
          </w:tcPr>
          <w:p>
            <w:pPr>
              <w:jc w:val="center"/>
              <w:rPr>
                <w:kern w:val="0"/>
                <w:sz w:val="21"/>
                <w:szCs w:val="21"/>
              </w:rPr>
            </w:pPr>
            <w:r>
              <w:rPr>
                <w:rFonts w:hint="eastAsia"/>
                <w:kern w:val="0"/>
                <w:sz w:val="21"/>
                <w:szCs w:val="21"/>
              </w:rPr>
              <w:t>0.030</w:t>
            </w:r>
          </w:p>
        </w:tc>
        <w:tc>
          <w:tcPr>
            <w:tcW w:w="689" w:type="dxa"/>
            <w:vAlign w:val="center"/>
          </w:tcPr>
          <w:p>
            <w:pPr>
              <w:jc w:val="center"/>
              <w:rPr>
                <w:kern w:val="0"/>
                <w:sz w:val="21"/>
                <w:szCs w:val="21"/>
              </w:rPr>
            </w:pPr>
            <w:r>
              <w:rPr>
                <w:rFonts w:hint="eastAsia"/>
                <w:kern w:val="0"/>
                <w:sz w:val="21"/>
                <w:szCs w:val="21"/>
              </w:rPr>
              <w:t>0.030</w:t>
            </w:r>
          </w:p>
        </w:tc>
        <w:tc>
          <w:tcPr>
            <w:tcW w:w="794" w:type="dxa"/>
            <w:vAlign w:val="center"/>
          </w:tcPr>
          <w:p>
            <w:pPr>
              <w:jc w:val="center"/>
              <w:rPr>
                <w:kern w:val="0"/>
                <w:sz w:val="21"/>
                <w:szCs w:val="21"/>
              </w:rPr>
            </w:pPr>
            <w:r>
              <w:rPr>
                <w:rFonts w:hint="eastAsia"/>
                <w:kern w:val="0"/>
                <w:sz w:val="21"/>
                <w:szCs w:val="21"/>
              </w:rPr>
              <w:t>1.00～2.00</w:t>
            </w:r>
          </w:p>
        </w:tc>
        <w:tc>
          <w:tcPr>
            <w:tcW w:w="794" w:type="dxa"/>
            <w:vAlign w:val="center"/>
          </w:tcPr>
          <w:p>
            <w:pPr>
              <w:jc w:val="center"/>
              <w:rPr>
                <w:kern w:val="0"/>
                <w:sz w:val="21"/>
                <w:szCs w:val="21"/>
              </w:rPr>
            </w:pPr>
            <w:r>
              <w:rPr>
                <w:rFonts w:hint="eastAsia"/>
                <w:kern w:val="0"/>
                <w:sz w:val="21"/>
                <w:szCs w:val="21"/>
              </w:rPr>
              <w:t>0.20</w:t>
            </w:r>
          </w:p>
        </w:tc>
        <w:tc>
          <w:tcPr>
            <w:tcW w:w="794" w:type="dxa"/>
            <w:vAlign w:val="center"/>
          </w:tcPr>
          <w:p>
            <w:pPr>
              <w:jc w:val="center"/>
              <w:rPr>
                <w:kern w:val="0"/>
                <w:sz w:val="21"/>
                <w:szCs w:val="21"/>
              </w:rPr>
            </w:pPr>
            <w:r>
              <w:rPr>
                <w:rFonts w:hint="eastAsia"/>
                <w:kern w:val="0"/>
                <w:sz w:val="21"/>
                <w:szCs w:val="21"/>
              </w:rPr>
              <w:t>0.20～0.65</w:t>
            </w:r>
          </w:p>
        </w:tc>
        <w:tc>
          <w:tcPr>
            <w:tcW w:w="689" w:type="dxa"/>
            <w:vAlign w:val="center"/>
          </w:tcPr>
          <w:p>
            <w:pPr>
              <w:jc w:val="center"/>
              <w:rPr>
                <w:kern w:val="0"/>
                <w:sz w:val="21"/>
                <w:szCs w:val="21"/>
              </w:rPr>
            </w:pPr>
            <w:r>
              <w:rPr>
                <w:rFonts w:hint="eastAsia"/>
                <w:kern w:val="0"/>
                <w:sz w:val="21"/>
                <w:szCs w:val="21"/>
              </w:rPr>
              <w:t>0.05</w:t>
            </w:r>
          </w:p>
        </w:tc>
        <w:tc>
          <w:tcPr>
            <w:tcW w:w="794" w:type="dxa"/>
            <w:vAlign w:val="center"/>
          </w:tcPr>
          <w:p>
            <w:pPr>
              <w:jc w:val="center"/>
              <w:rPr>
                <w:kern w:val="0"/>
                <w:sz w:val="21"/>
                <w:szCs w:val="21"/>
              </w:rPr>
            </w:pPr>
            <w:r>
              <w:rPr>
                <w:rFonts w:hint="eastAsia"/>
                <w:kern w:val="0"/>
                <w:sz w:val="21"/>
                <w:szCs w:val="21"/>
              </w:rPr>
              <w:t>—</w:t>
            </w:r>
          </w:p>
        </w:tc>
        <w:tc>
          <w:tcPr>
            <w:tcW w:w="496" w:type="dxa"/>
            <w:vAlign w:val="center"/>
          </w:tcPr>
          <w:p>
            <w:pPr>
              <w:jc w:val="center"/>
              <w:rPr>
                <w:kern w:val="0"/>
                <w:sz w:val="21"/>
                <w:szCs w:val="21"/>
              </w:rPr>
            </w:pPr>
            <w:r>
              <w:rPr>
                <w:rFonts w:hint="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Align w:val="center"/>
          </w:tcPr>
          <w:p>
            <w:pPr>
              <w:rPr>
                <w:kern w:val="0"/>
                <w:sz w:val="21"/>
                <w:szCs w:val="21"/>
              </w:rPr>
            </w:pPr>
            <w:r>
              <w:rPr>
                <w:rFonts w:hint="eastAsia"/>
                <w:kern w:val="0"/>
                <w:sz w:val="21"/>
                <w:szCs w:val="21"/>
              </w:rPr>
              <w:t>GXe</w:t>
            </w:r>
          </w:p>
        </w:tc>
        <w:tc>
          <w:tcPr>
            <w:tcW w:w="7973" w:type="dxa"/>
            <w:gridSpan w:val="11"/>
            <w:vAlign w:val="center"/>
          </w:tcPr>
          <w:p>
            <w:pPr>
              <w:rPr>
                <w:kern w:val="0"/>
                <w:sz w:val="21"/>
                <w:szCs w:val="21"/>
              </w:rPr>
            </w:pPr>
            <w:r>
              <w:rPr>
                <w:rFonts w:hint="eastAsia"/>
                <w:kern w:val="0"/>
                <w:sz w:val="21"/>
                <w:szCs w:val="21"/>
              </w:rPr>
              <w:t>其他协定成分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8" w:type="dxa"/>
            <w:gridSpan w:val="12"/>
            <w:vAlign w:val="center"/>
          </w:tcPr>
          <w:p>
            <w:pPr>
              <w:rPr>
                <w:kern w:val="0"/>
                <w:sz w:val="21"/>
                <w:szCs w:val="21"/>
              </w:rPr>
            </w:pPr>
            <w:r>
              <w:rPr>
                <w:rFonts w:hint="eastAsia"/>
                <w:kern w:val="0"/>
                <w:sz w:val="21"/>
                <w:szCs w:val="21"/>
              </w:rPr>
              <w:t>注：表中单值均为最大值。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8" w:type="dxa"/>
            <w:gridSpan w:val="12"/>
            <w:vAlign w:val="center"/>
          </w:tcPr>
          <w:p>
            <w:pPr>
              <w:rPr>
                <w:kern w:val="0"/>
                <w:sz w:val="21"/>
                <w:szCs w:val="21"/>
              </w:rPr>
            </w:pPr>
            <w:r>
              <w:rPr>
                <w:rFonts w:hint="eastAsia"/>
                <w:kern w:val="0"/>
                <w:sz w:val="21"/>
                <w:szCs w:val="21"/>
              </w:rPr>
              <w:t>a 如有意添加B元素，应进行分析；</w:t>
            </w:r>
          </w:p>
          <w:p>
            <w:pPr>
              <w:rPr>
                <w:kern w:val="0"/>
                <w:sz w:val="21"/>
                <w:szCs w:val="21"/>
              </w:rPr>
            </w:pPr>
            <w:r>
              <w:rPr>
                <w:rFonts w:hint="eastAsia"/>
                <w:kern w:val="0"/>
                <w:sz w:val="21"/>
                <w:szCs w:val="21"/>
              </w:rPr>
              <w:t>b 只适用于自保护焊丝；</w:t>
            </w:r>
          </w:p>
          <w:p>
            <w:pPr>
              <w:rPr>
                <w:kern w:val="0"/>
                <w:sz w:val="21"/>
                <w:szCs w:val="21"/>
              </w:rPr>
            </w:pPr>
            <w:r>
              <w:rPr>
                <w:rFonts w:hint="eastAsia"/>
                <w:kern w:val="0"/>
                <w:sz w:val="21"/>
                <w:szCs w:val="21"/>
              </w:rPr>
              <w:t>c 对于自保护焊丝，C≤0.30%；</w:t>
            </w:r>
          </w:p>
          <w:p>
            <w:pPr>
              <w:rPr>
                <w:kern w:val="0"/>
                <w:sz w:val="21"/>
                <w:szCs w:val="21"/>
              </w:rPr>
            </w:pPr>
            <w:r>
              <w:rPr>
                <w:rFonts w:hint="eastAsia"/>
                <w:kern w:val="0"/>
                <w:sz w:val="21"/>
                <w:szCs w:val="21"/>
              </w:rPr>
              <w:t>d 这些元素如果是有意添加的，应进行分析；</w:t>
            </w:r>
          </w:p>
          <w:p>
            <w:pPr>
              <w:rPr>
                <w:kern w:val="0"/>
                <w:sz w:val="21"/>
                <w:szCs w:val="21"/>
              </w:rPr>
            </w:pPr>
            <w:r>
              <w:rPr>
                <w:rFonts w:hint="eastAsia"/>
                <w:kern w:val="0"/>
                <w:sz w:val="21"/>
                <w:szCs w:val="21"/>
              </w:rPr>
              <w:t>e 表中未列出的分类可用相类似的分类表示，词头加字母“G”。化学成分范围不进行规定，两种分类之间不可替换。</w:t>
            </w:r>
          </w:p>
        </w:tc>
      </w:tr>
    </w:tbl>
    <w:p>
      <w:pPr>
        <w:pStyle w:val="87"/>
        <w:jc w:val="center"/>
        <w:rPr>
          <w:sz w:val="21"/>
          <w:szCs w:val="21"/>
        </w:rPr>
        <w:sectPr>
          <w:pgSz w:w="11906" w:h="16838"/>
          <w:pgMar w:top="1440" w:right="1440" w:bottom="1440" w:left="1440" w:header="851" w:footer="992" w:gutter="0"/>
          <w:cols w:space="425" w:num="1"/>
          <w:docGrid w:linePitch="312" w:charSpace="0"/>
        </w:sectPr>
      </w:pPr>
      <w:bookmarkStart w:id="33" w:name="_Toc131325351"/>
    </w:p>
    <w:p>
      <w:pPr>
        <w:pStyle w:val="87"/>
        <w:jc w:val="center"/>
        <w:rPr>
          <w:sz w:val="21"/>
          <w:szCs w:val="21"/>
        </w:rPr>
      </w:pPr>
      <w:r>
        <w:rPr>
          <w:rFonts w:hint="eastAsia"/>
          <w:sz w:val="21"/>
          <w:szCs w:val="21"/>
        </w:rPr>
        <w:t>表 A.</w:t>
      </w:r>
      <w:r>
        <w:rPr>
          <w:sz w:val="21"/>
          <w:szCs w:val="21"/>
        </w:rPr>
        <w:t>2</w:t>
      </w:r>
      <w:r>
        <w:rPr>
          <w:rFonts w:hint="eastAsia"/>
          <w:sz w:val="21"/>
          <w:szCs w:val="21"/>
        </w:rPr>
        <w:t xml:space="preserve"> 非合金钢及细晶粒钢药芯焊丝多道焊熔敷金属抗拉强度代号</w:t>
      </w:r>
      <w:bookmarkEnd w:id="33"/>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2513"/>
        <w:gridCol w:w="231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55" w:type="dxa"/>
            <w:vAlign w:val="center"/>
          </w:tcPr>
          <w:p>
            <w:pPr>
              <w:jc w:val="center"/>
              <w:rPr>
                <w:kern w:val="0"/>
                <w:sz w:val="20"/>
              </w:rPr>
            </w:pPr>
            <w:r>
              <w:rPr>
                <w:rFonts w:hint="eastAsia"/>
                <w:kern w:val="0"/>
                <w:sz w:val="20"/>
              </w:rPr>
              <w:t>抗拉强度代号</w:t>
            </w:r>
          </w:p>
        </w:tc>
        <w:tc>
          <w:tcPr>
            <w:tcW w:w="1855" w:type="dxa"/>
            <w:vAlign w:val="center"/>
          </w:tcPr>
          <w:p>
            <w:pPr>
              <w:jc w:val="center"/>
              <w:rPr>
                <w:kern w:val="0"/>
                <w:sz w:val="20"/>
              </w:rPr>
            </w:pPr>
            <w:r>
              <w:rPr>
                <w:rFonts w:hint="eastAsia"/>
                <w:kern w:val="0"/>
                <w:sz w:val="20"/>
              </w:rPr>
              <w:t>抗拉强度</w:t>
            </w:r>
            <w:r>
              <w:rPr>
                <w:rFonts w:hint="eastAsia"/>
                <w:i/>
                <w:kern w:val="0"/>
                <w:sz w:val="20"/>
              </w:rPr>
              <w:t>R</w:t>
            </w:r>
            <w:r>
              <w:rPr>
                <w:rFonts w:hint="eastAsia"/>
                <w:kern w:val="0"/>
                <w:sz w:val="20"/>
                <w:vertAlign w:val="subscript"/>
              </w:rPr>
              <w:t>m</w:t>
            </w:r>
            <w:r>
              <w:rPr>
                <w:kern w:val="0"/>
                <w:sz w:val="20"/>
              </w:rPr>
              <w:t>/</w:t>
            </w:r>
            <w:r>
              <w:rPr>
                <w:rFonts w:hint="eastAsia"/>
                <w:kern w:val="0"/>
                <w:sz w:val="20"/>
              </w:rPr>
              <w:t>MPa</w:t>
            </w:r>
          </w:p>
        </w:tc>
        <w:tc>
          <w:tcPr>
            <w:tcW w:w="1706" w:type="dxa"/>
            <w:vAlign w:val="center"/>
          </w:tcPr>
          <w:p>
            <w:pPr>
              <w:jc w:val="center"/>
              <w:rPr>
                <w:kern w:val="0"/>
                <w:sz w:val="20"/>
              </w:rPr>
            </w:pPr>
            <w:r>
              <w:rPr>
                <w:rFonts w:hint="eastAsia"/>
                <w:kern w:val="0"/>
                <w:sz w:val="20"/>
              </w:rPr>
              <w:t>屈服强度</w:t>
            </w:r>
            <w:r>
              <w:rPr>
                <w:rFonts w:hint="eastAsia"/>
                <w:kern w:val="0"/>
                <w:sz w:val="20"/>
                <w:vertAlign w:val="superscript"/>
              </w:rPr>
              <w:t>a</w:t>
            </w:r>
            <w:r>
              <w:rPr>
                <w:rFonts w:hint="eastAsia"/>
                <w:kern w:val="0"/>
                <w:sz w:val="20"/>
              </w:rPr>
              <w:t xml:space="preserve"> </w:t>
            </w:r>
            <w:r>
              <w:rPr>
                <w:rFonts w:hint="eastAsia"/>
                <w:i/>
                <w:kern w:val="0"/>
                <w:sz w:val="20"/>
              </w:rPr>
              <w:t>R</w:t>
            </w:r>
            <w:r>
              <w:rPr>
                <w:rFonts w:hint="eastAsia"/>
                <w:kern w:val="0"/>
                <w:sz w:val="20"/>
                <w:vertAlign w:val="subscript"/>
              </w:rPr>
              <w:t>eL</w:t>
            </w:r>
            <w:r>
              <w:rPr>
                <w:kern w:val="0"/>
                <w:sz w:val="20"/>
              </w:rPr>
              <w:t>/</w:t>
            </w:r>
            <w:r>
              <w:rPr>
                <w:rFonts w:hint="eastAsia"/>
                <w:kern w:val="0"/>
                <w:sz w:val="20"/>
              </w:rPr>
              <w:t>MPa</w:t>
            </w:r>
          </w:p>
        </w:tc>
        <w:tc>
          <w:tcPr>
            <w:tcW w:w="1706" w:type="dxa"/>
            <w:vAlign w:val="center"/>
          </w:tcPr>
          <w:p>
            <w:pPr>
              <w:jc w:val="center"/>
              <w:rPr>
                <w:kern w:val="0"/>
                <w:sz w:val="20"/>
              </w:rPr>
            </w:pPr>
            <w:r>
              <w:rPr>
                <w:rFonts w:hint="eastAsia"/>
                <w:kern w:val="0"/>
                <w:sz w:val="20"/>
              </w:rPr>
              <w:t>断后伸长率A</w:t>
            </w:r>
            <w:r>
              <w:rPr>
                <w:kern w:val="0"/>
                <w:sz w:val="20"/>
              </w:rPr>
              <w:t>/</w:t>
            </w: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Align w:val="center"/>
          </w:tcPr>
          <w:p>
            <w:pPr>
              <w:jc w:val="center"/>
              <w:rPr>
                <w:kern w:val="0"/>
                <w:sz w:val="20"/>
              </w:rPr>
            </w:pPr>
            <w:r>
              <w:rPr>
                <w:rFonts w:hint="eastAsia"/>
                <w:kern w:val="0"/>
                <w:sz w:val="20"/>
              </w:rPr>
              <w:t>43</w:t>
            </w:r>
          </w:p>
        </w:tc>
        <w:tc>
          <w:tcPr>
            <w:tcW w:w="1855" w:type="dxa"/>
            <w:vAlign w:val="center"/>
          </w:tcPr>
          <w:p>
            <w:pPr>
              <w:jc w:val="center"/>
              <w:rPr>
                <w:kern w:val="0"/>
                <w:sz w:val="20"/>
              </w:rPr>
            </w:pPr>
            <w:r>
              <w:rPr>
                <w:rFonts w:hint="eastAsia"/>
                <w:kern w:val="0"/>
                <w:sz w:val="20"/>
              </w:rPr>
              <w:t>430～600</w:t>
            </w:r>
          </w:p>
        </w:tc>
        <w:tc>
          <w:tcPr>
            <w:tcW w:w="1706" w:type="dxa"/>
            <w:vAlign w:val="center"/>
          </w:tcPr>
          <w:p>
            <w:pPr>
              <w:jc w:val="center"/>
              <w:rPr>
                <w:kern w:val="0"/>
                <w:sz w:val="20"/>
              </w:rPr>
            </w:pPr>
            <w:r>
              <w:rPr>
                <w:rFonts w:hint="eastAsia"/>
                <w:kern w:val="0"/>
                <w:sz w:val="20"/>
              </w:rPr>
              <w:t>≥330</w:t>
            </w:r>
          </w:p>
        </w:tc>
        <w:tc>
          <w:tcPr>
            <w:tcW w:w="1706" w:type="dxa"/>
            <w:vAlign w:val="center"/>
          </w:tcPr>
          <w:p>
            <w:pPr>
              <w:jc w:val="center"/>
              <w:rPr>
                <w:kern w:val="0"/>
                <w:sz w:val="20"/>
              </w:rPr>
            </w:pPr>
            <w:r>
              <w:rPr>
                <w:rFonts w:hint="eastAsia"/>
                <w:kern w:val="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Align w:val="center"/>
          </w:tcPr>
          <w:p>
            <w:pPr>
              <w:jc w:val="center"/>
              <w:rPr>
                <w:kern w:val="0"/>
                <w:sz w:val="20"/>
              </w:rPr>
            </w:pPr>
            <w:r>
              <w:rPr>
                <w:rFonts w:hint="eastAsia"/>
                <w:kern w:val="0"/>
                <w:sz w:val="20"/>
              </w:rPr>
              <w:t>49</w:t>
            </w:r>
          </w:p>
        </w:tc>
        <w:tc>
          <w:tcPr>
            <w:tcW w:w="1855" w:type="dxa"/>
            <w:vAlign w:val="center"/>
          </w:tcPr>
          <w:p>
            <w:pPr>
              <w:jc w:val="center"/>
              <w:rPr>
                <w:kern w:val="0"/>
                <w:sz w:val="20"/>
              </w:rPr>
            </w:pPr>
            <w:r>
              <w:rPr>
                <w:rFonts w:hint="eastAsia"/>
                <w:kern w:val="0"/>
                <w:sz w:val="20"/>
              </w:rPr>
              <w:t>490～670</w:t>
            </w:r>
          </w:p>
        </w:tc>
        <w:tc>
          <w:tcPr>
            <w:tcW w:w="1706" w:type="dxa"/>
            <w:vAlign w:val="center"/>
          </w:tcPr>
          <w:p>
            <w:pPr>
              <w:jc w:val="center"/>
              <w:rPr>
                <w:kern w:val="0"/>
                <w:sz w:val="20"/>
              </w:rPr>
            </w:pPr>
            <w:r>
              <w:rPr>
                <w:rFonts w:hint="eastAsia"/>
                <w:kern w:val="0"/>
                <w:sz w:val="20"/>
              </w:rPr>
              <w:t>≥390</w:t>
            </w:r>
          </w:p>
        </w:tc>
        <w:tc>
          <w:tcPr>
            <w:tcW w:w="1706" w:type="dxa"/>
            <w:vAlign w:val="center"/>
          </w:tcPr>
          <w:p>
            <w:pPr>
              <w:jc w:val="center"/>
              <w:rPr>
                <w:kern w:val="0"/>
                <w:sz w:val="20"/>
              </w:rPr>
            </w:pPr>
            <w:r>
              <w:rPr>
                <w:rFonts w:hint="eastAsia"/>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Align w:val="center"/>
          </w:tcPr>
          <w:p>
            <w:pPr>
              <w:jc w:val="center"/>
              <w:rPr>
                <w:kern w:val="0"/>
                <w:sz w:val="20"/>
              </w:rPr>
            </w:pPr>
            <w:r>
              <w:rPr>
                <w:rFonts w:hint="eastAsia"/>
                <w:kern w:val="0"/>
                <w:sz w:val="20"/>
              </w:rPr>
              <w:t>55</w:t>
            </w:r>
          </w:p>
        </w:tc>
        <w:tc>
          <w:tcPr>
            <w:tcW w:w="1855" w:type="dxa"/>
            <w:vAlign w:val="center"/>
          </w:tcPr>
          <w:p>
            <w:pPr>
              <w:jc w:val="center"/>
              <w:rPr>
                <w:kern w:val="0"/>
                <w:sz w:val="20"/>
              </w:rPr>
            </w:pPr>
            <w:r>
              <w:rPr>
                <w:rFonts w:hint="eastAsia"/>
                <w:kern w:val="0"/>
                <w:sz w:val="20"/>
              </w:rPr>
              <w:t>550～740</w:t>
            </w:r>
          </w:p>
        </w:tc>
        <w:tc>
          <w:tcPr>
            <w:tcW w:w="1706" w:type="dxa"/>
            <w:vAlign w:val="center"/>
          </w:tcPr>
          <w:p>
            <w:pPr>
              <w:jc w:val="center"/>
              <w:rPr>
                <w:kern w:val="0"/>
                <w:sz w:val="20"/>
              </w:rPr>
            </w:pPr>
            <w:r>
              <w:rPr>
                <w:rFonts w:hint="eastAsia"/>
                <w:kern w:val="0"/>
                <w:sz w:val="20"/>
              </w:rPr>
              <w:t>≥460</w:t>
            </w:r>
          </w:p>
        </w:tc>
        <w:tc>
          <w:tcPr>
            <w:tcW w:w="1706" w:type="dxa"/>
            <w:vAlign w:val="center"/>
          </w:tcPr>
          <w:p>
            <w:pPr>
              <w:jc w:val="center"/>
              <w:rPr>
                <w:kern w:val="0"/>
                <w:sz w:val="20"/>
              </w:rPr>
            </w:pPr>
            <w:r>
              <w:rPr>
                <w:rFonts w:hint="eastAsia"/>
                <w:kern w:val="0"/>
                <w:sz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Align w:val="center"/>
          </w:tcPr>
          <w:p>
            <w:pPr>
              <w:jc w:val="center"/>
              <w:rPr>
                <w:kern w:val="0"/>
                <w:sz w:val="20"/>
              </w:rPr>
            </w:pPr>
            <w:r>
              <w:rPr>
                <w:rFonts w:hint="eastAsia"/>
                <w:kern w:val="0"/>
                <w:sz w:val="20"/>
              </w:rPr>
              <w:t>57</w:t>
            </w:r>
          </w:p>
        </w:tc>
        <w:tc>
          <w:tcPr>
            <w:tcW w:w="1855" w:type="dxa"/>
            <w:vAlign w:val="center"/>
          </w:tcPr>
          <w:p>
            <w:pPr>
              <w:jc w:val="center"/>
              <w:rPr>
                <w:kern w:val="0"/>
                <w:sz w:val="20"/>
              </w:rPr>
            </w:pPr>
            <w:r>
              <w:rPr>
                <w:rFonts w:hint="eastAsia"/>
                <w:kern w:val="0"/>
                <w:sz w:val="20"/>
              </w:rPr>
              <w:t>570～770</w:t>
            </w:r>
          </w:p>
        </w:tc>
        <w:tc>
          <w:tcPr>
            <w:tcW w:w="1706" w:type="dxa"/>
            <w:vAlign w:val="center"/>
          </w:tcPr>
          <w:p>
            <w:pPr>
              <w:jc w:val="center"/>
              <w:rPr>
                <w:kern w:val="0"/>
                <w:sz w:val="20"/>
              </w:rPr>
            </w:pPr>
            <w:r>
              <w:rPr>
                <w:rFonts w:hint="eastAsia"/>
                <w:kern w:val="0"/>
                <w:sz w:val="20"/>
              </w:rPr>
              <w:t>≥490</w:t>
            </w:r>
          </w:p>
        </w:tc>
        <w:tc>
          <w:tcPr>
            <w:tcW w:w="1706" w:type="dxa"/>
            <w:vAlign w:val="center"/>
          </w:tcPr>
          <w:p>
            <w:pPr>
              <w:jc w:val="center"/>
              <w:rPr>
                <w:kern w:val="0"/>
                <w:sz w:val="20"/>
              </w:rPr>
            </w:pPr>
            <w:r>
              <w:rPr>
                <w:rFonts w:hint="eastAsia"/>
                <w:kern w:val="0"/>
                <w:sz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22" w:type="dxa"/>
            <w:gridSpan w:val="4"/>
            <w:vAlign w:val="center"/>
          </w:tcPr>
          <w:p>
            <w:pPr>
              <w:rPr>
                <w:kern w:val="0"/>
                <w:sz w:val="20"/>
              </w:rPr>
            </w:pPr>
            <w:r>
              <w:rPr>
                <w:rFonts w:hint="eastAsia"/>
                <w:kern w:val="0"/>
                <w:sz w:val="20"/>
              </w:rPr>
              <w:t>a当屈服发生不明显时，应测定规定塑性延伸强度Rp0.2。</w:t>
            </w:r>
          </w:p>
        </w:tc>
      </w:tr>
    </w:tbl>
    <w:p>
      <w:pPr>
        <w:pStyle w:val="87"/>
        <w:jc w:val="center"/>
        <w:rPr>
          <w:sz w:val="21"/>
          <w:szCs w:val="21"/>
        </w:rPr>
      </w:pPr>
    </w:p>
    <w:p>
      <w:pPr>
        <w:pStyle w:val="87"/>
        <w:jc w:val="center"/>
        <w:rPr>
          <w:sz w:val="21"/>
          <w:szCs w:val="21"/>
        </w:rPr>
      </w:pPr>
      <w:bookmarkStart w:id="34" w:name="_Toc131325352"/>
      <w:r>
        <w:rPr>
          <w:rFonts w:hint="eastAsia"/>
          <w:sz w:val="21"/>
          <w:szCs w:val="21"/>
        </w:rPr>
        <w:t>表 A.</w:t>
      </w:r>
      <w:r>
        <w:rPr>
          <w:sz w:val="21"/>
          <w:szCs w:val="21"/>
        </w:rPr>
        <w:t>3</w:t>
      </w:r>
      <w:r>
        <w:rPr>
          <w:rFonts w:hint="eastAsia"/>
          <w:sz w:val="21"/>
          <w:szCs w:val="21"/>
        </w:rPr>
        <w:t xml:space="preserve"> 非合金钢及细晶粒钢药芯焊丝单道焊熔敷金属抗拉强度代号</w:t>
      </w:r>
      <w:bookmarkEnd w:id="34"/>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kern w:val="0"/>
                <w:sz w:val="20"/>
              </w:rPr>
            </w:pPr>
            <w:r>
              <w:rPr>
                <w:rFonts w:hint="eastAsia"/>
                <w:kern w:val="0"/>
                <w:sz w:val="20"/>
              </w:rPr>
              <w:t>抗拉强度代号</w:t>
            </w:r>
          </w:p>
        </w:tc>
        <w:tc>
          <w:tcPr>
            <w:tcW w:w="5105" w:type="dxa"/>
            <w:vAlign w:val="center"/>
          </w:tcPr>
          <w:p>
            <w:pPr>
              <w:jc w:val="center"/>
              <w:rPr>
                <w:kern w:val="0"/>
                <w:sz w:val="20"/>
              </w:rPr>
            </w:pPr>
            <w:r>
              <w:rPr>
                <w:rFonts w:hint="eastAsia"/>
                <w:kern w:val="0"/>
                <w:sz w:val="20"/>
              </w:rPr>
              <w:t>抗拉强度</w:t>
            </w:r>
            <w:r>
              <w:rPr>
                <w:rFonts w:hint="eastAsia"/>
                <w:i/>
                <w:kern w:val="0"/>
                <w:sz w:val="20"/>
              </w:rPr>
              <w:t>R</w:t>
            </w:r>
            <w:r>
              <w:rPr>
                <w:rFonts w:hint="eastAsia"/>
                <w:kern w:val="0"/>
                <w:sz w:val="20"/>
                <w:vertAlign w:val="subscript"/>
              </w:rPr>
              <w:t>m</w:t>
            </w:r>
            <w:r>
              <w:rPr>
                <w:rFonts w:hint="eastAsia"/>
                <w:kern w:val="0"/>
                <w:sz w:val="20"/>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kern w:val="0"/>
                <w:sz w:val="20"/>
              </w:rPr>
            </w:pPr>
            <w:r>
              <w:rPr>
                <w:rFonts w:hint="eastAsia"/>
                <w:kern w:val="0"/>
                <w:sz w:val="20"/>
              </w:rPr>
              <w:t>43</w:t>
            </w:r>
          </w:p>
        </w:tc>
        <w:tc>
          <w:tcPr>
            <w:tcW w:w="5105" w:type="dxa"/>
            <w:vAlign w:val="center"/>
          </w:tcPr>
          <w:p>
            <w:pPr>
              <w:jc w:val="center"/>
              <w:rPr>
                <w:kern w:val="0"/>
                <w:sz w:val="20"/>
              </w:rPr>
            </w:pPr>
            <w:r>
              <w:rPr>
                <w:rFonts w:hint="eastAsia"/>
                <w:kern w:val="0"/>
                <w:sz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kern w:val="0"/>
                <w:sz w:val="20"/>
              </w:rPr>
            </w:pPr>
            <w:r>
              <w:rPr>
                <w:rFonts w:hint="eastAsia"/>
                <w:kern w:val="0"/>
                <w:sz w:val="20"/>
              </w:rPr>
              <w:t>49</w:t>
            </w:r>
          </w:p>
        </w:tc>
        <w:tc>
          <w:tcPr>
            <w:tcW w:w="5105" w:type="dxa"/>
            <w:vAlign w:val="center"/>
          </w:tcPr>
          <w:p>
            <w:pPr>
              <w:jc w:val="center"/>
              <w:rPr>
                <w:kern w:val="0"/>
                <w:sz w:val="20"/>
              </w:rPr>
            </w:pPr>
            <w:r>
              <w:rPr>
                <w:rFonts w:hint="eastAsia"/>
                <w:kern w:val="0"/>
                <w:sz w:val="20"/>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kern w:val="0"/>
                <w:sz w:val="20"/>
              </w:rPr>
            </w:pPr>
            <w:r>
              <w:rPr>
                <w:rFonts w:hint="eastAsia"/>
                <w:kern w:val="0"/>
                <w:sz w:val="20"/>
              </w:rPr>
              <w:t>55</w:t>
            </w:r>
          </w:p>
        </w:tc>
        <w:tc>
          <w:tcPr>
            <w:tcW w:w="5105" w:type="dxa"/>
            <w:vAlign w:val="center"/>
          </w:tcPr>
          <w:p>
            <w:pPr>
              <w:jc w:val="center"/>
              <w:rPr>
                <w:kern w:val="0"/>
                <w:sz w:val="20"/>
              </w:rPr>
            </w:pPr>
            <w:r>
              <w:rPr>
                <w:rFonts w:hint="eastAsia"/>
                <w:kern w:val="0"/>
                <w:sz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kern w:val="0"/>
                <w:sz w:val="20"/>
              </w:rPr>
            </w:pPr>
            <w:r>
              <w:rPr>
                <w:rFonts w:hint="eastAsia"/>
                <w:kern w:val="0"/>
                <w:sz w:val="20"/>
              </w:rPr>
              <w:t>57</w:t>
            </w:r>
          </w:p>
        </w:tc>
        <w:tc>
          <w:tcPr>
            <w:tcW w:w="5105" w:type="dxa"/>
            <w:vAlign w:val="center"/>
          </w:tcPr>
          <w:p>
            <w:pPr>
              <w:jc w:val="center"/>
              <w:rPr>
                <w:kern w:val="0"/>
                <w:sz w:val="20"/>
              </w:rPr>
            </w:pPr>
            <w:r>
              <w:rPr>
                <w:rFonts w:hint="eastAsia"/>
                <w:kern w:val="0"/>
                <w:sz w:val="20"/>
              </w:rPr>
              <w:t>≥570</w:t>
            </w:r>
          </w:p>
        </w:tc>
      </w:tr>
    </w:tbl>
    <w:p>
      <w:pPr>
        <w:pStyle w:val="87"/>
        <w:rPr>
          <w:sz w:val="21"/>
          <w:szCs w:val="21"/>
        </w:rPr>
      </w:pPr>
    </w:p>
    <w:p>
      <w:pPr>
        <w:pStyle w:val="87"/>
        <w:rPr>
          <w:sz w:val="21"/>
          <w:szCs w:val="21"/>
        </w:rPr>
      </w:pPr>
    </w:p>
    <w:p>
      <w:pPr>
        <w:pStyle w:val="87"/>
        <w:rPr>
          <w:sz w:val="21"/>
          <w:szCs w:val="21"/>
        </w:rPr>
        <w:sectPr>
          <w:pgSz w:w="11906" w:h="16838"/>
          <w:pgMar w:top="1440" w:right="1440" w:bottom="1440" w:left="1440" w:header="851" w:footer="992" w:gutter="0"/>
          <w:cols w:space="425" w:num="1"/>
          <w:docGrid w:linePitch="312" w:charSpace="0"/>
        </w:sectPr>
      </w:pPr>
      <w:bookmarkStart w:id="35" w:name="_Toc131325353"/>
    </w:p>
    <w:p>
      <w:pPr>
        <w:pStyle w:val="87"/>
        <w:rPr>
          <w:sz w:val="21"/>
          <w:szCs w:val="21"/>
        </w:rPr>
      </w:pPr>
      <w:r>
        <w:rPr>
          <w:rFonts w:hint="eastAsia"/>
          <w:sz w:val="21"/>
          <w:szCs w:val="21"/>
        </w:rPr>
        <w:t>附录B</w:t>
      </w:r>
      <w:r>
        <w:rPr>
          <w:sz w:val="21"/>
          <w:szCs w:val="21"/>
        </w:rPr>
        <w:t xml:space="preserve"> </w:t>
      </w:r>
      <w:r>
        <w:rPr>
          <w:rFonts w:hint="eastAsia"/>
          <w:sz w:val="21"/>
          <w:szCs w:val="21"/>
        </w:rPr>
        <w:t>奥氏体不锈钢药芯焊丝熔敷金属化学成分见</w:t>
      </w:r>
      <w:r>
        <w:rPr>
          <w:sz w:val="21"/>
          <w:szCs w:val="21"/>
        </w:rPr>
        <w:t>B</w:t>
      </w:r>
      <w:r>
        <w:rPr>
          <w:rFonts w:hint="eastAsia"/>
          <w:sz w:val="21"/>
          <w:szCs w:val="21"/>
        </w:rPr>
        <w:t>.1～4。</w:t>
      </w:r>
      <w:bookmarkEnd w:id="35"/>
    </w:p>
    <w:p>
      <w:pPr>
        <w:spacing w:line="360" w:lineRule="auto"/>
        <w:ind w:firstLine="420" w:firstLineChars="200"/>
        <w:jc w:val="left"/>
        <w:rPr>
          <w:rFonts w:eastAsiaTheme="minorEastAsia"/>
          <w:szCs w:val="21"/>
        </w:rPr>
      </w:pPr>
      <w:r>
        <w:rPr>
          <w:rFonts w:eastAsiaTheme="minorEastAsia"/>
          <w:szCs w:val="21"/>
        </w:rPr>
        <w:t>奥氏体不锈钢药芯焊丝气体保护非金属粉型药芯焊丝熔敷金属化学成分应符合表B.1规定，分类保护气体采用C1，M12，M21和Z；</w:t>
      </w:r>
    </w:p>
    <w:p>
      <w:pPr>
        <w:spacing w:line="360" w:lineRule="auto"/>
        <w:ind w:firstLine="420" w:firstLineChars="200"/>
        <w:jc w:val="left"/>
        <w:rPr>
          <w:rFonts w:eastAsiaTheme="minorEastAsia"/>
          <w:szCs w:val="21"/>
        </w:rPr>
      </w:pPr>
      <w:r>
        <w:rPr>
          <w:rFonts w:eastAsiaTheme="minorEastAsia"/>
          <w:szCs w:val="21"/>
        </w:rPr>
        <w:t>奥氏体不锈钢药芯焊丝气体保护金属粉型药芯焊丝熔敷金属化学成分应符合表B.2规定，分类保护气体采用M12，M13，M21，I1和Z；</w:t>
      </w:r>
    </w:p>
    <w:p>
      <w:pPr>
        <w:spacing w:line="360" w:lineRule="auto"/>
        <w:ind w:firstLine="420" w:firstLineChars="200"/>
        <w:jc w:val="left"/>
        <w:rPr>
          <w:rFonts w:eastAsiaTheme="minorEastAsia"/>
          <w:szCs w:val="21"/>
        </w:rPr>
      </w:pPr>
      <w:r>
        <w:rPr>
          <w:rFonts w:eastAsiaTheme="minorEastAsia"/>
          <w:szCs w:val="21"/>
        </w:rPr>
        <w:t>奥氏体不锈钢药芯焊丝钨极惰性气体保护焊用药芯填充丝熔敷金属化学成分应符合表B.3规定，分类保护气体采用I1和Z。</w:t>
      </w:r>
    </w:p>
    <w:p>
      <w:pPr>
        <w:pStyle w:val="87"/>
        <w:jc w:val="center"/>
        <w:rPr>
          <w:sz w:val="21"/>
          <w:szCs w:val="21"/>
        </w:rPr>
      </w:pPr>
      <w:bookmarkStart w:id="36" w:name="_Toc131325354"/>
    </w:p>
    <w:p>
      <w:pPr>
        <w:pStyle w:val="87"/>
        <w:jc w:val="center"/>
        <w:rPr>
          <w:sz w:val="21"/>
          <w:szCs w:val="21"/>
        </w:rPr>
      </w:pPr>
      <w:r>
        <w:rPr>
          <w:rFonts w:hint="eastAsia"/>
          <w:sz w:val="21"/>
          <w:szCs w:val="21"/>
        </w:rPr>
        <w:t xml:space="preserve">表 </w:t>
      </w:r>
      <w:r>
        <w:rPr>
          <w:sz w:val="21"/>
          <w:szCs w:val="21"/>
        </w:rPr>
        <w:t>B</w:t>
      </w:r>
      <w:r>
        <w:rPr>
          <w:rFonts w:hint="eastAsia"/>
          <w:sz w:val="21"/>
          <w:szCs w:val="21"/>
        </w:rPr>
        <w:t>.</w:t>
      </w:r>
      <w:r>
        <w:rPr>
          <w:sz w:val="21"/>
          <w:szCs w:val="21"/>
        </w:rPr>
        <w:t xml:space="preserve">1 </w:t>
      </w:r>
      <w:r>
        <w:rPr>
          <w:rFonts w:hint="eastAsia"/>
          <w:sz w:val="21"/>
          <w:szCs w:val="21"/>
        </w:rPr>
        <w:t>奥氏体不锈钢药芯焊丝气体保护非金属粉型药芯焊丝熔敷金属化学成分</w:t>
      </w:r>
      <w:bookmarkEnd w:id="36"/>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712"/>
        <w:gridCol w:w="713"/>
        <w:gridCol w:w="532"/>
        <w:gridCol w:w="532"/>
        <w:gridCol w:w="532"/>
        <w:gridCol w:w="713"/>
        <w:gridCol w:w="713"/>
        <w:gridCol w:w="713"/>
        <w:gridCol w:w="622"/>
        <w:gridCol w:w="789"/>
        <w:gridCol w:w="71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Merge w:val="restart"/>
            <w:vAlign w:val="center"/>
          </w:tcPr>
          <w:p>
            <w:pPr>
              <w:jc w:val="center"/>
              <w:rPr>
                <w:kern w:val="0"/>
                <w:sz w:val="20"/>
              </w:rPr>
            </w:pPr>
            <w:r>
              <w:rPr>
                <w:rFonts w:hint="eastAsia"/>
                <w:kern w:val="0"/>
                <w:sz w:val="20"/>
              </w:rPr>
              <w:t>化学成分</w:t>
            </w:r>
          </w:p>
          <w:p>
            <w:pPr>
              <w:jc w:val="center"/>
              <w:rPr>
                <w:kern w:val="0"/>
                <w:sz w:val="20"/>
              </w:rPr>
            </w:pPr>
            <w:r>
              <w:rPr>
                <w:rFonts w:hint="eastAsia"/>
                <w:kern w:val="0"/>
                <w:sz w:val="20"/>
              </w:rPr>
              <w:t>分类</w:t>
            </w:r>
          </w:p>
        </w:tc>
        <w:tc>
          <w:tcPr>
            <w:tcW w:w="12819" w:type="dxa"/>
            <w:gridSpan w:val="12"/>
            <w:vAlign w:val="center"/>
          </w:tcPr>
          <w:p>
            <w:pPr>
              <w:jc w:val="center"/>
              <w:rPr>
                <w:kern w:val="0"/>
                <w:sz w:val="20"/>
              </w:rPr>
            </w:pPr>
            <w:r>
              <w:rPr>
                <w:rFonts w:hint="eastAsia"/>
                <w:kern w:val="0"/>
                <w:sz w:val="20"/>
              </w:rPr>
              <w:t>化学成分（质量分数，wt%）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Merge w:val="continue"/>
            <w:vAlign w:val="center"/>
          </w:tcPr>
          <w:p>
            <w:pPr>
              <w:rPr>
                <w:kern w:val="0"/>
                <w:sz w:val="20"/>
              </w:rPr>
            </w:pPr>
          </w:p>
        </w:tc>
        <w:tc>
          <w:tcPr>
            <w:tcW w:w="1134" w:type="dxa"/>
            <w:vAlign w:val="center"/>
          </w:tcPr>
          <w:p>
            <w:pPr>
              <w:jc w:val="center"/>
              <w:rPr>
                <w:kern w:val="0"/>
                <w:sz w:val="20"/>
              </w:rPr>
            </w:pPr>
            <w:r>
              <w:rPr>
                <w:rFonts w:hint="eastAsia"/>
                <w:kern w:val="0"/>
                <w:sz w:val="20"/>
              </w:rPr>
              <w:t>C</w:t>
            </w:r>
          </w:p>
        </w:tc>
        <w:tc>
          <w:tcPr>
            <w:tcW w:w="1134" w:type="dxa"/>
            <w:vAlign w:val="center"/>
          </w:tcPr>
          <w:p>
            <w:pPr>
              <w:jc w:val="center"/>
              <w:rPr>
                <w:kern w:val="0"/>
                <w:sz w:val="20"/>
              </w:rPr>
            </w:pPr>
            <w:r>
              <w:rPr>
                <w:rFonts w:hint="eastAsia"/>
                <w:kern w:val="0"/>
                <w:sz w:val="20"/>
              </w:rPr>
              <w:t>Mn</w:t>
            </w:r>
          </w:p>
        </w:tc>
        <w:tc>
          <w:tcPr>
            <w:tcW w:w="567" w:type="dxa"/>
            <w:vAlign w:val="center"/>
          </w:tcPr>
          <w:p>
            <w:pPr>
              <w:jc w:val="center"/>
              <w:rPr>
                <w:kern w:val="0"/>
                <w:sz w:val="20"/>
              </w:rPr>
            </w:pPr>
            <w:r>
              <w:rPr>
                <w:rFonts w:hint="eastAsia"/>
                <w:kern w:val="0"/>
                <w:sz w:val="20"/>
              </w:rPr>
              <w:t>Si</w:t>
            </w:r>
          </w:p>
        </w:tc>
        <w:tc>
          <w:tcPr>
            <w:tcW w:w="709" w:type="dxa"/>
            <w:vAlign w:val="center"/>
          </w:tcPr>
          <w:p>
            <w:pPr>
              <w:jc w:val="center"/>
              <w:rPr>
                <w:kern w:val="0"/>
                <w:sz w:val="20"/>
              </w:rPr>
            </w:pPr>
            <w:r>
              <w:rPr>
                <w:rFonts w:hint="eastAsia"/>
                <w:kern w:val="0"/>
                <w:sz w:val="20"/>
              </w:rPr>
              <w:t>P</w:t>
            </w:r>
          </w:p>
        </w:tc>
        <w:tc>
          <w:tcPr>
            <w:tcW w:w="709" w:type="dxa"/>
            <w:vAlign w:val="center"/>
          </w:tcPr>
          <w:p>
            <w:pPr>
              <w:jc w:val="center"/>
              <w:rPr>
                <w:kern w:val="0"/>
                <w:sz w:val="20"/>
              </w:rPr>
            </w:pPr>
            <w:r>
              <w:rPr>
                <w:rFonts w:hint="eastAsia"/>
                <w:kern w:val="0"/>
                <w:sz w:val="20"/>
              </w:rPr>
              <w:t>S</w:t>
            </w:r>
          </w:p>
        </w:tc>
        <w:tc>
          <w:tcPr>
            <w:tcW w:w="1134" w:type="dxa"/>
            <w:vAlign w:val="center"/>
          </w:tcPr>
          <w:p>
            <w:pPr>
              <w:jc w:val="center"/>
              <w:rPr>
                <w:kern w:val="0"/>
                <w:sz w:val="20"/>
              </w:rPr>
            </w:pPr>
            <w:r>
              <w:rPr>
                <w:rFonts w:hint="eastAsia"/>
                <w:kern w:val="0"/>
                <w:sz w:val="20"/>
              </w:rPr>
              <w:t>Ni</w:t>
            </w:r>
          </w:p>
        </w:tc>
        <w:tc>
          <w:tcPr>
            <w:tcW w:w="1276" w:type="dxa"/>
            <w:vAlign w:val="center"/>
          </w:tcPr>
          <w:p>
            <w:pPr>
              <w:jc w:val="center"/>
              <w:rPr>
                <w:kern w:val="0"/>
                <w:sz w:val="20"/>
              </w:rPr>
            </w:pPr>
            <w:r>
              <w:rPr>
                <w:rFonts w:hint="eastAsia"/>
                <w:kern w:val="0"/>
                <w:sz w:val="20"/>
              </w:rPr>
              <w:t>Cr</w:t>
            </w:r>
          </w:p>
        </w:tc>
        <w:tc>
          <w:tcPr>
            <w:tcW w:w="1275" w:type="dxa"/>
            <w:vAlign w:val="center"/>
          </w:tcPr>
          <w:p>
            <w:pPr>
              <w:jc w:val="center"/>
              <w:rPr>
                <w:kern w:val="0"/>
                <w:sz w:val="20"/>
              </w:rPr>
            </w:pPr>
            <w:r>
              <w:rPr>
                <w:rFonts w:hint="eastAsia"/>
                <w:kern w:val="0"/>
                <w:sz w:val="20"/>
              </w:rPr>
              <w:t>Mo</w:t>
            </w:r>
          </w:p>
        </w:tc>
        <w:tc>
          <w:tcPr>
            <w:tcW w:w="993" w:type="dxa"/>
            <w:vAlign w:val="center"/>
          </w:tcPr>
          <w:p>
            <w:pPr>
              <w:jc w:val="center"/>
              <w:rPr>
                <w:kern w:val="0"/>
                <w:sz w:val="20"/>
              </w:rPr>
            </w:pPr>
            <w:r>
              <w:rPr>
                <w:rFonts w:hint="eastAsia"/>
                <w:kern w:val="0"/>
                <w:sz w:val="20"/>
              </w:rPr>
              <w:t>Cu</w:t>
            </w:r>
          </w:p>
        </w:tc>
        <w:tc>
          <w:tcPr>
            <w:tcW w:w="1134" w:type="dxa"/>
            <w:vAlign w:val="center"/>
          </w:tcPr>
          <w:p>
            <w:pPr>
              <w:jc w:val="center"/>
              <w:rPr>
                <w:kern w:val="0"/>
                <w:sz w:val="20"/>
              </w:rPr>
            </w:pPr>
            <w:r>
              <w:rPr>
                <w:rFonts w:hint="eastAsia"/>
                <w:kern w:val="0"/>
                <w:sz w:val="20"/>
              </w:rPr>
              <w:t>Nb+Ta</w:t>
            </w:r>
          </w:p>
        </w:tc>
        <w:tc>
          <w:tcPr>
            <w:tcW w:w="1133" w:type="dxa"/>
            <w:vAlign w:val="center"/>
          </w:tcPr>
          <w:p>
            <w:pPr>
              <w:jc w:val="center"/>
              <w:rPr>
                <w:kern w:val="0"/>
                <w:sz w:val="20"/>
              </w:rPr>
            </w:pPr>
            <w:r>
              <w:rPr>
                <w:rFonts w:hint="eastAsia"/>
                <w:kern w:val="0"/>
                <w:sz w:val="20"/>
              </w:rPr>
              <w:t>N</w:t>
            </w:r>
          </w:p>
        </w:tc>
        <w:tc>
          <w:tcPr>
            <w:tcW w:w="1621" w:type="dxa"/>
          </w:tcPr>
          <w:p>
            <w:pPr>
              <w:jc w:val="center"/>
              <w:rPr>
                <w:kern w:val="0"/>
                <w:sz w:val="20"/>
              </w:rPr>
            </w:pPr>
            <w:r>
              <w:rPr>
                <w:rFonts w:hint="eastAsia"/>
                <w:kern w:val="0"/>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307</w:t>
            </w:r>
          </w:p>
        </w:tc>
        <w:tc>
          <w:tcPr>
            <w:tcW w:w="1134" w:type="dxa"/>
            <w:vAlign w:val="center"/>
          </w:tcPr>
          <w:p>
            <w:pPr>
              <w:jc w:val="center"/>
              <w:rPr>
                <w:kern w:val="0"/>
                <w:sz w:val="20"/>
              </w:rPr>
            </w:pPr>
            <w:r>
              <w:rPr>
                <w:rFonts w:hint="eastAsia"/>
                <w:kern w:val="0"/>
                <w:sz w:val="20"/>
              </w:rPr>
              <w:t>0.13</w:t>
            </w:r>
          </w:p>
        </w:tc>
        <w:tc>
          <w:tcPr>
            <w:tcW w:w="1134" w:type="dxa"/>
            <w:vAlign w:val="center"/>
          </w:tcPr>
          <w:p>
            <w:pPr>
              <w:jc w:val="center"/>
              <w:rPr>
                <w:kern w:val="0"/>
                <w:sz w:val="20"/>
              </w:rPr>
            </w:pPr>
            <w:r>
              <w:rPr>
                <w:rFonts w:hint="eastAsia"/>
                <w:kern w:val="0"/>
                <w:sz w:val="20"/>
              </w:rPr>
              <w:t>3.30～4.75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9.0～10.5</w:t>
            </w:r>
          </w:p>
        </w:tc>
        <w:tc>
          <w:tcPr>
            <w:tcW w:w="1276" w:type="dxa"/>
            <w:vAlign w:val="center"/>
          </w:tcPr>
          <w:p>
            <w:pPr>
              <w:jc w:val="center"/>
              <w:rPr>
                <w:kern w:val="0"/>
                <w:sz w:val="20"/>
              </w:rPr>
            </w:pPr>
            <w:r>
              <w:rPr>
                <w:rFonts w:hint="eastAsia"/>
                <w:kern w:val="0"/>
                <w:sz w:val="20"/>
              </w:rPr>
              <w:t>18.0～20.5</w:t>
            </w:r>
          </w:p>
        </w:tc>
        <w:tc>
          <w:tcPr>
            <w:tcW w:w="1275" w:type="dxa"/>
            <w:vAlign w:val="center"/>
          </w:tcPr>
          <w:p>
            <w:pPr>
              <w:jc w:val="center"/>
              <w:rPr>
                <w:kern w:val="0"/>
                <w:sz w:val="20"/>
              </w:rPr>
            </w:pPr>
            <w:r>
              <w:rPr>
                <w:rFonts w:hint="eastAsia"/>
                <w:kern w:val="0"/>
                <w:sz w:val="20"/>
              </w:rPr>
              <w:t>0.5～1.5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308</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308L</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9.0～12.0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308H</w:t>
            </w:r>
          </w:p>
        </w:tc>
        <w:tc>
          <w:tcPr>
            <w:tcW w:w="1134" w:type="dxa"/>
            <w:vAlign w:val="center"/>
          </w:tcPr>
          <w:p>
            <w:pPr>
              <w:jc w:val="center"/>
              <w:rPr>
                <w:kern w:val="0"/>
                <w:sz w:val="20"/>
              </w:rPr>
            </w:pPr>
            <w:r>
              <w:rPr>
                <w:rFonts w:hint="eastAsia"/>
                <w:kern w:val="0"/>
                <w:sz w:val="20"/>
              </w:rPr>
              <w:t>0.15</w:t>
            </w:r>
          </w:p>
        </w:tc>
        <w:tc>
          <w:tcPr>
            <w:tcW w:w="1134" w:type="dxa"/>
            <w:vAlign w:val="center"/>
          </w:tcPr>
          <w:p>
            <w:pPr>
              <w:jc w:val="center"/>
              <w:rPr>
                <w:kern w:val="0"/>
                <w:sz w:val="20"/>
              </w:rPr>
            </w:pPr>
            <w:r>
              <w:rPr>
                <w:rFonts w:hint="eastAsia"/>
                <w:kern w:val="0"/>
                <w:sz w:val="20"/>
              </w:rPr>
              <w:t>1.25～2.00</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308Mo</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308LMo</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9.0～12.0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309</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22.0～25.0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309L</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22.0～25.0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309H</w:t>
            </w:r>
          </w:p>
        </w:tc>
        <w:tc>
          <w:tcPr>
            <w:tcW w:w="1134" w:type="dxa"/>
            <w:vAlign w:val="center"/>
          </w:tcPr>
          <w:p>
            <w:pPr>
              <w:jc w:val="center"/>
              <w:rPr>
                <w:kern w:val="0"/>
                <w:sz w:val="20"/>
              </w:rPr>
            </w:pPr>
            <w:r>
              <w:rPr>
                <w:rFonts w:hint="eastAsia"/>
                <w:kern w:val="0"/>
                <w:sz w:val="20"/>
              </w:rPr>
              <w:t>0.04～0.10</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22.0～25.0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309Mo</w:t>
            </w:r>
          </w:p>
        </w:tc>
        <w:tc>
          <w:tcPr>
            <w:tcW w:w="1134" w:type="dxa"/>
            <w:vAlign w:val="center"/>
          </w:tcPr>
          <w:p>
            <w:pPr>
              <w:jc w:val="center"/>
              <w:rPr>
                <w:kern w:val="0"/>
                <w:sz w:val="20"/>
              </w:rPr>
            </w:pPr>
            <w:r>
              <w:rPr>
                <w:rFonts w:hint="eastAsia"/>
                <w:kern w:val="0"/>
                <w:sz w:val="20"/>
              </w:rPr>
              <w:t>0.12</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12.0～16.0</w:t>
            </w:r>
          </w:p>
        </w:tc>
        <w:tc>
          <w:tcPr>
            <w:tcW w:w="1276" w:type="dxa"/>
            <w:vAlign w:val="center"/>
          </w:tcPr>
          <w:p>
            <w:pPr>
              <w:jc w:val="center"/>
              <w:rPr>
                <w:kern w:val="0"/>
                <w:sz w:val="20"/>
              </w:rPr>
            </w:pPr>
            <w:r>
              <w:rPr>
                <w:rFonts w:hint="eastAsia"/>
                <w:kern w:val="0"/>
                <w:sz w:val="20"/>
              </w:rPr>
              <w:t>21.0～25.0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309LMo</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12.0～16.0</w:t>
            </w:r>
          </w:p>
        </w:tc>
        <w:tc>
          <w:tcPr>
            <w:tcW w:w="1276" w:type="dxa"/>
            <w:vAlign w:val="center"/>
          </w:tcPr>
          <w:p>
            <w:pPr>
              <w:jc w:val="center"/>
              <w:rPr>
                <w:kern w:val="0"/>
                <w:sz w:val="20"/>
              </w:rPr>
            </w:pPr>
            <w:r>
              <w:rPr>
                <w:rFonts w:hint="eastAsia"/>
                <w:kern w:val="0"/>
                <w:sz w:val="20"/>
              </w:rPr>
              <w:t>21.0～25.0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309LNb</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22.0～25.0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0.7～1.0</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309LNiMo</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15.0～17.0</w:t>
            </w:r>
          </w:p>
        </w:tc>
        <w:tc>
          <w:tcPr>
            <w:tcW w:w="1276" w:type="dxa"/>
            <w:vAlign w:val="center"/>
          </w:tcPr>
          <w:p>
            <w:pPr>
              <w:jc w:val="center"/>
              <w:rPr>
                <w:kern w:val="0"/>
                <w:sz w:val="20"/>
              </w:rPr>
            </w:pPr>
            <w:r>
              <w:rPr>
                <w:rFonts w:hint="eastAsia"/>
                <w:kern w:val="0"/>
                <w:sz w:val="20"/>
              </w:rPr>
              <w:t>20.5～23.5</w:t>
            </w:r>
          </w:p>
        </w:tc>
        <w:tc>
          <w:tcPr>
            <w:tcW w:w="1275" w:type="dxa"/>
            <w:vAlign w:val="center"/>
          </w:tcPr>
          <w:p>
            <w:pPr>
              <w:jc w:val="center"/>
              <w:rPr>
                <w:kern w:val="0"/>
                <w:sz w:val="20"/>
              </w:rPr>
            </w:pPr>
            <w:r>
              <w:rPr>
                <w:rFonts w:hint="eastAsia"/>
                <w:kern w:val="0"/>
                <w:sz w:val="20"/>
              </w:rPr>
              <w:t>2.5～3.5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310</w:t>
            </w:r>
          </w:p>
        </w:tc>
        <w:tc>
          <w:tcPr>
            <w:tcW w:w="1134" w:type="dxa"/>
            <w:vAlign w:val="center"/>
          </w:tcPr>
          <w:p>
            <w:pPr>
              <w:jc w:val="center"/>
              <w:rPr>
                <w:kern w:val="0"/>
                <w:sz w:val="20"/>
              </w:rPr>
            </w:pPr>
            <w:r>
              <w:rPr>
                <w:rFonts w:hint="eastAsia"/>
                <w:kern w:val="0"/>
                <w:sz w:val="20"/>
              </w:rPr>
              <w:t>0.20</w:t>
            </w:r>
          </w:p>
        </w:tc>
        <w:tc>
          <w:tcPr>
            <w:tcW w:w="1134" w:type="dxa"/>
            <w:vAlign w:val="center"/>
          </w:tcPr>
          <w:p>
            <w:pPr>
              <w:jc w:val="center"/>
              <w:rPr>
                <w:kern w:val="0"/>
                <w:sz w:val="20"/>
              </w:rPr>
            </w:pPr>
            <w:r>
              <w:rPr>
                <w:rFonts w:hint="eastAsia"/>
                <w:kern w:val="0"/>
                <w:sz w:val="20"/>
              </w:rPr>
              <w:t>1.0～2.5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0.03</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20.0～22.5</w:t>
            </w:r>
          </w:p>
        </w:tc>
        <w:tc>
          <w:tcPr>
            <w:tcW w:w="1276" w:type="dxa"/>
            <w:vAlign w:val="center"/>
          </w:tcPr>
          <w:p>
            <w:pPr>
              <w:jc w:val="center"/>
              <w:rPr>
                <w:kern w:val="0"/>
                <w:sz w:val="20"/>
              </w:rPr>
            </w:pPr>
            <w:r>
              <w:rPr>
                <w:rFonts w:hint="eastAsia"/>
                <w:kern w:val="0"/>
                <w:sz w:val="20"/>
              </w:rPr>
              <w:t>25.0～28.0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312</w:t>
            </w:r>
          </w:p>
        </w:tc>
        <w:tc>
          <w:tcPr>
            <w:tcW w:w="1134" w:type="dxa"/>
            <w:vAlign w:val="center"/>
          </w:tcPr>
          <w:p>
            <w:pPr>
              <w:jc w:val="center"/>
              <w:rPr>
                <w:kern w:val="0"/>
                <w:sz w:val="20"/>
              </w:rPr>
            </w:pPr>
            <w:r>
              <w:rPr>
                <w:rFonts w:hint="eastAsia"/>
                <w:kern w:val="0"/>
                <w:sz w:val="20"/>
              </w:rPr>
              <w:t>0.15</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8.0～10.5</w:t>
            </w:r>
          </w:p>
        </w:tc>
        <w:tc>
          <w:tcPr>
            <w:tcW w:w="1276" w:type="dxa"/>
            <w:vAlign w:val="center"/>
          </w:tcPr>
          <w:p>
            <w:pPr>
              <w:jc w:val="center"/>
              <w:rPr>
                <w:kern w:val="0"/>
                <w:sz w:val="20"/>
              </w:rPr>
            </w:pPr>
            <w:r>
              <w:rPr>
                <w:rFonts w:hint="eastAsia"/>
                <w:kern w:val="0"/>
                <w:sz w:val="20"/>
              </w:rPr>
              <w:t>28.0～32.0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316</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11.0～14.0</w:t>
            </w:r>
          </w:p>
        </w:tc>
        <w:tc>
          <w:tcPr>
            <w:tcW w:w="1276" w:type="dxa"/>
            <w:vAlign w:val="center"/>
          </w:tcPr>
          <w:p>
            <w:pPr>
              <w:jc w:val="center"/>
              <w:rPr>
                <w:kern w:val="0"/>
                <w:sz w:val="20"/>
              </w:rPr>
            </w:pPr>
            <w:r>
              <w:rPr>
                <w:rFonts w:hint="eastAsia"/>
                <w:kern w:val="0"/>
                <w:sz w:val="20"/>
              </w:rPr>
              <w:t>17.0～20.0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 xml:space="preserve">316L </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11.0～14.0</w:t>
            </w:r>
          </w:p>
        </w:tc>
        <w:tc>
          <w:tcPr>
            <w:tcW w:w="1276" w:type="dxa"/>
            <w:vAlign w:val="center"/>
          </w:tcPr>
          <w:p>
            <w:pPr>
              <w:jc w:val="center"/>
              <w:rPr>
                <w:kern w:val="0"/>
                <w:sz w:val="20"/>
              </w:rPr>
            </w:pPr>
            <w:r>
              <w:rPr>
                <w:rFonts w:hint="eastAsia"/>
                <w:kern w:val="0"/>
                <w:sz w:val="20"/>
              </w:rPr>
              <w:t>17.0～20.0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316H</w:t>
            </w:r>
          </w:p>
        </w:tc>
        <w:tc>
          <w:tcPr>
            <w:tcW w:w="1134" w:type="dxa"/>
            <w:vAlign w:val="center"/>
          </w:tcPr>
          <w:p>
            <w:pPr>
              <w:jc w:val="center"/>
              <w:rPr>
                <w:kern w:val="0"/>
                <w:sz w:val="20"/>
              </w:rPr>
            </w:pPr>
            <w:r>
              <w:rPr>
                <w:rFonts w:hint="eastAsia"/>
                <w:kern w:val="0"/>
                <w:sz w:val="20"/>
              </w:rPr>
              <w:t>0.04～0.08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11.0～14.0</w:t>
            </w:r>
          </w:p>
        </w:tc>
        <w:tc>
          <w:tcPr>
            <w:tcW w:w="1276" w:type="dxa"/>
            <w:vAlign w:val="center"/>
          </w:tcPr>
          <w:p>
            <w:pPr>
              <w:jc w:val="center"/>
              <w:rPr>
                <w:kern w:val="0"/>
                <w:sz w:val="20"/>
              </w:rPr>
            </w:pPr>
            <w:r>
              <w:rPr>
                <w:rFonts w:hint="eastAsia"/>
                <w:kern w:val="0"/>
                <w:sz w:val="20"/>
              </w:rPr>
              <w:t>17.0～20.0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316LCu</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11.0～16.0</w:t>
            </w:r>
          </w:p>
        </w:tc>
        <w:tc>
          <w:tcPr>
            <w:tcW w:w="1276" w:type="dxa"/>
            <w:vAlign w:val="center"/>
          </w:tcPr>
          <w:p>
            <w:pPr>
              <w:jc w:val="center"/>
              <w:rPr>
                <w:kern w:val="0"/>
                <w:sz w:val="20"/>
              </w:rPr>
            </w:pPr>
            <w:r>
              <w:rPr>
                <w:rFonts w:hint="eastAsia"/>
                <w:kern w:val="0"/>
                <w:sz w:val="20"/>
              </w:rPr>
              <w:t>17.0～20.0</w:t>
            </w:r>
          </w:p>
        </w:tc>
        <w:tc>
          <w:tcPr>
            <w:tcW w:w="1275" w:type="dxa"/>
            <w:vAlign w:val="center"/>
          </w:tcPr>
          <w:p>
            <w:pPr>
              <w:jc w:val="center"/>
              <w:rPr>
                <w:kern w:val="0"/>
                <w:sz w:val="20"/>
              </w:rPr>
            </w:pPr>
            <w:r>
              <w:rPr>
                <w:rFonts w:hint="eastAsia"/>
                <w:kern w:val="0"/>
                <w:sz w:val="20"/>
              </w:rPr>
              <w:t>1.25～2.75</w:t>
            </w:r>
          </w:p>
        </w:tc>
        <w:tc>
          <w:tcPr>
            <w:tcW w:w="993" w:type="dxa"/>
            <w:vAlign w:val="center"/>
          </w:tcPr>
          <w:p>
            <w:pPr>
              <w:jc w:val="center"/>
              <w:rPr>
                <w:kern w:val="0"/>
                <w:sz w:val="20"/>
              </w:rPr>
            </w:pPr>
            <w:r>
              <w:rPr>
                <w:rFonts w:hint="eastAsia"/>
                <w:kern w:val="0"/>
                <w:sz w:val="20"/>
              </w:rPr>
              <w:t>1.0～2.5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317</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3.0～4.0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317L</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12.0～14.0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3.0～4.0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318</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11.0～14.0</w:t>
            </w:r>
          </w:p>
        </w:tc>
        <w:tc>
          <w:tcPr>
            <w:tcW w:w="1276" w:type="dxa"/>
            <w:vAlign w:val="center"/>
          </w:tcPr>
          <w:p>
            <w:pPr>
              <w:jc w:val="center"/>
              <w:rPr>
                <w:kern w:val="0"/>
                <w:sz w:val="20"/>
              </w:rPr>
            </w:pPr>
            <w:r>
              <w:rPr>
                <w:rFonts w:hint="eastAsia"/>
                <w:kern w:val="0"/>
                <w:sz w:val="20"/>
              </w:rPr>
              <w:t>17.0～20.0</w:t>
            </w:r>
          </w:p>
        </w:tc>
        <w:tc>
          <w:tcPr>
            <w:tcW w:w="1275" w:type="dxa"/>
            <w:vAlign w:val="center"/>
          </w:tcPr>
          <w:p>
            <w:pPr>
              <w:jc w:val="center"/>
              <w:rPr>
                <w:kern w:val="0"/>
                <w:sz w:val="20"/>
              </w:rPr>
            </w:pPr>
            <w:r>
              <w:rPr>
                <w:rFonts w:hint="eastAsia"/>
                <w:kern w:val="0"/>
                <w:sz w:val="20"/>
              </w:rPr>
              <w:t>2.0～3.0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8×C～1.0</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347</w:t>
            </w:r>
          </w:p>
        </w:tc>
        <w:tc>
          <w:tcPr>
            <w:tcW w:w="1134" w:type="dxa"/>
            <w:vAlign w:val="center"/>
          </w:tcPr>
          <w:p>
            <w:pPr>
              <w:jc w:val="center"/>
              <w:rPr>
                <w:kern w:val="0"/>
                <w:sz w:val="20"/>
              </w:rPr>
            </w:pPr>
            <w:r>
              <w:rPr>
                <w:rFonts w:hint="eastAsia"/>
                <w:kern w:val="0"/>
                <w:sz w:val="20"/>
              </w:rPr>
              <w:t>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8×C～1.0</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347L</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8×C～1.0</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347H</w:t>
            </w:r>
          </w:p>
        </w:tc>
        <w:tc>
          <w:tcPr>
            <w:tcW w:w="1134" w:type="dxa"/>
            <w:vAlign w:val="center"/>
          </w:tcPr>
          <w:p>
            <w:pPr>
              <w:jc w:val="center"/>
              <w:rPr>
                <w:kern w:val="0"/>
                <w:sz w:val="20"/>
              </w:rPr>
            </w:pPr>
            <w:r>
              <w:rPr>
                <w:rFonts w:hint="eastAsia"/>
                <w:kern w:val="0"/>
                <w:sz w:val="20"/>
              </w:rPr>
              <w:t>0.04～0.08</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9.0～11.0</w:t>
            </w:r>
          </w:p>
        </w:tc>
        <w:tc>
          <w:tcPr>
            <w:tcW w:w="1276" w:type="dxa"/>
            <w:vAlign w:val="center"/>
          </w:tcPr>
          <w:p>
            <w:pPr>
              <w:jc w:val="center"/>
              <w:rPr>
                <w:kern w:val="0"/>
                <w:sz w:val="20"/>
              </w:rPr>
            </w:pPr>
            <w:r>
              <w:rPr>
                <w:rFonts w:hint="eastAsia"/>
                <w:kern w:val="0"/>
                <w:sz w:val="20"/>
              </w:rPr>
              <w:t>18.0～21.0</w:t>
            </w:r>
          </w:p>
        </w:tc>
        <w:tc>
          <w:tcPr>
            <w:tcW w:w="1275" w:type="dxa"/>
            <w:vAlign w:val="center"/>
          </w:tcPr>
          <w:p>
            <w:pPr>
              <w:jc w:val="center"/>
              <w:rPr>
                <w:kern w:val="0"/>
                <w:sz w:val="20"/>
              </w:rPr>
            </w:pPr>
            <w:r>
              <w:rPr>
                <w:rFonts w:hint="eastAsia"/>
                <w:kern w:val="0"/>
                <w:sz w:val="20"/>
              </w:rPr>
              <w:t>0.5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8×C～1.0</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409</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0.80</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0.6</w:t>
            </w:r>
          </w:p>
        </w:tc>
        <w:tc>
          <w:tcPr>
            <w:tcW w:w="1276" w:type="dxa"/>
            <w:vAlign w:val="center"/>
          </w:tcPr>
          <w:p>
            <w:pPr>
              <w:jc w:val="center"/>
              <w:rPr>
                <w:kern w:val="0"/>
                <w:sz w:val="20"/>
              </w:rPr>
            </w:pPr>
            <w:r>
              <w:rPr>
                <w:rFonts w:hint="eastAsia"/>
                <w:kern w:val="0"/>
                <w:sz w:val="20"/>
              </w:rPr>
              <w:t>10.5～13.5</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tcPr>
          <w:p>
            <w:pPr>
              <w:jc w:val="center"/>
              <w:rPr>
                <w:kern w:val="0"/>
                <w:sz w:val="20"/>
              </w:rPr>
            </w:pPr>
            <w:r>
              <w:rPr>
                <w:rFonts w:hint="eastAsia"/>
                <w:kern w:val="0"/>
                <w:sz w:val="20"/>
              </w:rPr>
              <w:t>Ti：10×C～1.5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409Nb</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1.2</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0.6</w:t>
            </w:r>
          </w:p>
        </w:tc>
        <w:tc>
          <w:tcPr>
            <w:tcW w:w="1276" w:type="dxa"/>
            <w:vAlign w:val="center"/>
          </w:tcPr>
          <w:p>
            <w:pPr>
              <w:jc w:val="center"/>
              <w:rPr>
                <w:kern w:val="0"/>
                <w:sz w:val="20"/>
              </w:rPr>
            </w:pPr>
            <w:r>
              <w:rPr>
                <w:rFonts w:hint="eastAsia"/>
                <w:kern w:val="0"/>
                <w:sz w:val="20"/>
              </w:rPr>
              <w:t>10.5～13.5</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8×C～1.5</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410</w:t>
            </w:r>
          </w:p>
        </w:tc>
        <w:tc>
          <w:tcPr>
            <w:tcW w:w="1134" w:type="dxa"/>
            <w:vAlign w:val="center"/>
          </w:tcPr>
          <w:p>
            <w:pPr>
              <w:jc w:val="center"/>
              <w:rPr>
                <w:kern w:val="0"/>
                <w:sz w:val="20"/>
              </w:rPr>
            </w:pPr>
            <w:r>
              <w:rPr>
                <w:rFonts w:hint="eastAsia"/>
                <w:kern w:val="0"/>
                <w:sz w:val="20"/>
              </w:rPr>
              <w:t>0.12</w:t>
            </w:r>
          </w:p>
        </w:tc>
        <w:tc>
          <w:tcPr>
            <w:tcW w:w="1134" w:type="dxa"/>
            <w:vAlign w:val="center"/>
          </w:tcPr>
          <w:p>
            <w:pPr>
              <w:jc w:val="center"/>
              <w:rPr>
                <w:kern w:val="0"/>
                <w:sz w:val="20"/>
              </w:rPr>
            </w:pPr>
            <w:r>
              <w:rPr>
                <w:rFonts w:hint="eastAsia"/>
                <w:kern w:val="0"/>
                <w:sz w:val="20"/>
              </w:rPr>
              <w:t>1.2</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0.6</w:t>
            </w:r>
          </w:p>
        </w:tc>
        <w:tc>
          <w:tcPr>
            <w:tcW w:w="1276" w:type="dxa"/>
            <w:vAlign w:val="center"/>
          </w:tcPr>
          <w:p>
            <w:pPr>
              <w:jc w:val="center"/>
              <w:rPr>
                <w:kern w:val="0"/>
                <w:sz w:val="20"/>
              </w:rPr>
            </w:pPr>
            <w:r>
              <w:rPr>
                <w:rFonts w:hint="eastAsia"/>
                <w:kern w:val="0"/>
                <w:sz w:val="20"/>
              </w:rPr>
              <w:t>11.0～13.5</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410NiMo</w:t>
            </w:r>
          </w:p>
        </w:tc>
        <w:tc>
          <w:tcPr>
            <w:tcW w:w="1134" w:type="dxa"/>
            <w:vAlign w:val="center"/>
          </w:tcPr>
          <w:p>
            <w:pPr>
              <w:jc w:val="center"/>
              <w:rPr>
                <w:kern w:val="0"/>
                <w:sz w:val="20"/>
              </w:rPr>
            </w:pPr>
            <w:r>
              <w:rPr>
                <w:rFonts w:hint="eastAsia"/>
                <w:kern w:val="0"/>
                <w:sz w:val="20"/>
              </w:rPr>
              <w:t>0.06</w:t>
            </w:r>
          </w:p>
        </w:tc>
        <w:tc>
          <w:tcPr>
            <w:tcW w:w="1134" w:type="dxa"/>
            <w:vAlign w:val="center"/>
          </w:tcPr>
          <w:p>
            <w:pPr>
              <w:jc w:val="center"/>
              <w:rPr>
                <w:kern w:val="0"/>
                <w:sz w:val="20"/>
              </w:rPr>
            </w:pPr>
            <w:r>
              <w:rPr>
                <w:rFonts w:hint="eastAsia"/>
                <w:kern w:val="0"/>
                <w:sz w:val="20"/>
              </w:rPr>
              <w:t>1.0</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4.0～5.0</w:t>
            </w:r>
          </w:p>
        </w:tc>
        <w:tc>
          <w:tcPr>
            <w:tcW w:w="1276" w:type="dxa"/>
            <w:vAlign w:val="center"/>
          </w:tcPr>
          <w:p>
            <w:pPr>
              <w:jc w:val="center"/>
              <w:rPr>
                <w:kern w:val="0"/>
                <w:sz w:val="20"/>
              </w:rPr>
            </w:pPr>
            <w:r>
              <w:rPr>
                <w:rFonts w:hint="eastAsia"/>
                <w:kern w:val="0"/>
                <w:sz w:val="20"/>
              </w:rPr>
              <w:t>11.0～12.5</w:t>
            </w:r>
          </w:p>
        </w:tc>
        <w:tc>
          <w:tcPr>
            <w:tcW w:w="1275" w:type="dxa"/>
            <w:vAlign w:val="center"/>
          </w:tcPr>
          <w:p>
            <w:pPr>
              <w:jc w:val="center"/>
              <w:rPr>
                <w:kern w:val="0"/>
                <w:sz w:val="20"/>
              </w:rPr>
            </w:pPr>
            <w:r>
              <w:rPr>
                <w:rFonts w:hint="eastAsia"/>
                <w:kern w:val="0"/>
                <w:sz w:val="20"/>
              </w:rPr>
              <w:t>0.4～0.7</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410NiTi</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0.70</w:t>
            </w:r>
          </w:p>
        </w:tc>
        <w:tc>
          <w:tcPr>
            <w:tcW w:w="567" w:type="dxa"/>
            <w:vAlign w:val="center"/>
          </w:tcPr>
          <w:p>
            <w:pPr>
              <w:jc w:val="center"/>
              <w:rPr>
                <w:kern w:val="0"/>
                <w:sz w:val="20"/>
              </w:rPr>
            </w:pPr>
            <w:r>
              <w:rPr>
                <w:rFonts w:hint="eastAsia"/>
                <w:kern w:val="0"/>
                <w:sz w:val="20"/>
              </w:rPr>
              <w:t>0.50</w:t>
            </w:r>
          </w:p>
        </w:tc>
        <w:tc>
          <w:tcPr>
            <w:tcW w:w="709" w:type="dxa"/>
            <w:vAlign w:val="center"/>
          </w:tcPr>
          <w:p>
            <w:pPr>
              <w:jc w:val="center"/>
              <w:rPr>
                <w:kern w:val="0"/>
                <w:sz w:val="20"/>
              </w:rPr>
            </w:pPr>
            <w:r>
              <w:rPr>
                <w:rFonts w:hint="eastAsia"/>
                <w:kern w:val="0"/>
                <w:sz w:val="20"/>
              </w:rPr>
              <w:t>0.03</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3.6～4.5</w:t>
            </w:r>
          </w:p>
        </w:tc>
        <w:tc>
          <w:tcPr>
            <w:tcW w:w="1276" w:type="dxa"/>
            <w:vAlign w:val="center"/>
          </w:tcPr>
          <w:p>
            <w:pPr>
              <w:jc w:val="center"/>
              <w:rPr>
                <w:kern w:val="0"/>
                <w:sz w:val="20"/>
              </w:rPr>
            </w:pPr>
            <w:r>
              <w:rPr>
                <w:rFonts w:hint="eastAsia"/>
                <w:kern w:val="0"/>
                <w:sz w:val="20"/>
              </w:rPr>
              <w:t>11.0～12.0</w:t>
            </w:r>
          </w:p>
        </w:tc>
        <w:tc>
          <w:tcPr>
            <w:tcW w:w="1275" w:type="dxa"/>
            <w:vAlign w:val="center"/>
          </w:tcPr>
          <w:p>
            <w:pPr>
              <w:jc w:val="center"/>
              <w:rPr>
                <w:kern w:val="0"/>
                <w:sz w:val="20"/>
              </w:rPr>
            </w:pPr>
            <w:r>
              <w:rPr>
                <w:rFonts w:hint="eastAsia"/>
                <w:kern w:val="0"/>
                <w:sz w:val="20"/>
              </w:rPr>
              <w:t>0.5</w:t>
            </w:r>
          </w:p>
        </w:tc>
        <w:tc>
          <w:tcPr>
            <w:tcW w:w="993" w:type="dxa"/>
            <w:vAlign w:val="center"/>
          </w:tcPr>
          <w:p>
            <w:pPr>
              <w:jc w:val="center"/>
              <w:rPr>
                <w:kern w:val="0"/>
                <w:sz w:val="20"/>
              </w:rPr>
            </w:pPr>
            <w:r>
              <w:rPr>
                <w:rFonts w:hint="eastAsia"/>
                <w:kern w:val="0"/>
                <w:sz w:val="20"/>
              </w:rPr>
              <w:t>0.50</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tcPr>
          <w:p>
            <w:pPr>
              <w:jc w:val="center"/>
              <w:rPr>
                <w:kern w:val="0"/>
                <w:sz w:val="20"/>
              </w:rPr>
            </w:pPr>
            <w:r>
              <w:rPr>
                <w:rFonts w:hint="eastAsia"/>
                <w:kern w:val="0"/>
                <w:sz w:val="20"/>
              </w:rPr>
              <w:t>Ti：10×C～1.5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430</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1.2</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0.6</w:t>
            </w:r>
          </w:p>
        </w:tc>
        <w:tc>
          <w:tcPr>
            <w:tcW w:w="1276" w:type="dxa"/>
            <w:vAlign w:val="center"/>
          </w:tcPr>
          <w:p>
            <w:pPr>
              <w:jc w:val="center"/>
              <w:rPr>
                <w:kern w:val="0"/>
                <w:sz w:val="20"/>
              </w:rPr>
            </w:pPr>
            <w:r>
              <w:rPr>
                <w:rFonts w:hint="eastAsia"/>
                <w:kern w:val="0"/>
                <w:sz w:val="20"/>
              </w:rPr>
              <w:t>15.0～18.0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430Nb</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1.2</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0.6</w:t>
            </w:r>
          </w:p>
        </w:tc>
        <w:tc>
          <w:tcPr>
            <w:tcW w:w="1276" w:type="dxa"/>
            <w:vAlign w:val="center"/>
          </w:tcPr>
          <w:p>
            <w:pPr>
              <w:jc w:val="center"/>
              <w:rPr>
                <w:kern w:val="0"/>
                <w:sz w:val="20"/>
              </w:rPr>
            </w:pPr>
            <w:r>
              <w:rPr>
                <w:rFonts w:hint="eastAsia"/>
                <w:kern w:val="0"/>
                <w:sz w:val="20"/>
              </w:rPr>
              <w:t>15.0～18.0</w:t>
            </w:r>
          </w:p>
        </w:tc>
        <w:tc>
          <w:tcPr>
            <w:tcW w:w="1275" w:type="dxa"/>
            <w:vAlign w:val="center"/>
          </w:tcPr>
          <w:p>
            <w:pPr>
              <w:jc w:val="center"/>
              <w:rPr>
                <w:kern w:val="0"/>
                <w:sz w:val="20"/>
              </w:rPr>
            </w:pPr>
            <w:r>
              <w:rPr>
                <w:rFonts w:hint="eastAsia"/>
                <w:kern w:val="0"/>
                <w:sz w:val="20"/>
              </w:rPr>
              <w:t>0.75</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0.5～1.5</w:t>
            </w:r>
          </w:p>
        </w:tc>
        <w:tc>
          <w:tcPr>
            <w:tcW w:w="1133"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16-8-2</w:t>
            </w:r>
          </w:p>
        </w:tc>
        <w:tc>
          <w:tcPr>
            <w:tcW w:w="1134" w:type="dxa"/>
            <w:vAlign w:val="center"/>
          </w:tcPr>
          <w:p>
            <w:pPr>
              <w:jc w:val="center"/>
              <w:rPr>
                <w:kern w:val="0"/>
                <w:sz w:val="20"/>
              </w:rPr>
            </w:pPr>
            <w:r>
              <w:rPr>
                <w:rFonts w:hint="eastAsia"/>
                <w:kern w:val="0"/>
                <w:sz w:val="20"/>
              </w:rPr>
              <w:t>0.10</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0.75</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7.5～9.5</w:t>
            </w:r>
          </w:p>
        </w:tc>
        <w:tc>
          <w:tcPr>
            <w:tcW w:w="1276" w:type="dxa"/>
            <w:vAlign w:val="center"/>
          </w:tcPr>
          <w:p>
            <w:pPr>
              <w:jc w:val="center"/>
              <w:rPr>
                <w:kern w:val="0"/>
                <w:sz w:val="20"/>
              </w:rPr>
            </w:pPr>
            <w:r>
              <w:rPr>
                <w:rFonts w:hint="eastAsia"/>
                <w:kern w:val="0"/>
                <w:sz w:val="20"/>
              </w:rPr>
              <w:t>14.5～17.5</w:t>
            </w:r>
          </w:p>
        </w:tc>
        <w:tc>
          <w:tcPr>
            <w:tcW w:w="1275" w:type="dxa"/>
            <w:vAlign w:val="center"/>
          </w:tcPr>
          <w:p>
            <w:pPr>
              <w:jc w:val="center"/>
              <w:rPr>
                <w:kern w:val="0"/>
                <w:sz w:val="20"/>
              </w:rPr>
            </w:pPr>
            <w:r>
              <w:rPr>
                <w:rFonts w:hint="eastAsia"/>
                <w:kern w:val="0"/>
                <w:sz w:val="20"/>
              </w:rPr>
              <w:t>1.0～2.0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w:t>
            </w:r>
          </w:p>
        </w:tc>
        <w:tc>
          <w:tcPr>
            <w:tcW w:w="1621" w:type="dxa"/>
          </w:tcPr>
          <w:p>
            <w:pPr>
              <w:jc w:val="center"/>
              <w:rPr>
                <w:kern w:val="0"/>
                <w:sz w:val="20"/>
              </w:rPr>
            </w:pPr>
            <w:r>
              <w:rPr>
                <w:rFonts w:hint="eastAsia"/>
                <w:kern w:val="0"/>
                <w:sz w:val="20"/>
              </w:rPr>
              <w:t>Cr+Mo：18.5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2209</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0.5～2.0</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7.5～10.0</w:t>
            </w:r>
          </w:p>
        </w:tc>
        <w:tc>
          <w:tcPr>
            <w:tcW w:w="1276" w:type="dxa"/>
            <w:vAlign w:val="center"/>
          </w:tcPr>
          <w:p>
            <w:pPr>
              <w:jc w:val="center"/>
              <w:rPr>
                <w:kern w:val="0"/>
                <w:sz w:val="20"/>
              </w:rPr>
            </w:pPr>
            <w:r>
              <w:rPr>
                <w:rFonts w:hint="eastAsia"/>
                <w:kern w:val="0"/>
                <w:sz w:val="20"/>
              </w:rPr>
              <w:t>21.0～24.0</w:t>
            </w:r>
          </w:p>
        </w:tc>
        <w:tc>
          <w:tcPr>
            <w:tcW w:w="1275" w:type="dxa"/>
            <w:vAlign w:val="center"/>
          </w:tcPr>
          <w:p>
            <w:pPr>
              <w:jc w:val="center"/>
              <w:rPr>
                <w:kern w:val="0"/>
                <w:sz w:val="20"/>
              </w:rPr>
            </w:pPr>
            <w:r>
              <w:rPr>
                <w:rFonts w:hint="eastAsia"/>
                <w:kern w:val="0"/>
                <w:sz w:val="20"/>
              </w:rPr>
              <w:t>2.5～4.0</w:t>
            </w:r>
          </w:p>
        </w:tc>
        <w:tc>
          <w:tcPr>
            <w:tcW w:w="993" w:type="dxa"/>
            <w:vAlign w:val="center"/>
          </w:tcPr>
          <w:p>
            <w:pPr>
              <w:jc w:val="center"/>
              <w:rPr>
                <w:kern w:val="0"/>
                <w:sz w:val="20"/>
              </w:rPr>
            </w:pPr>
            <w:r>
              <w:rPr>
                <w:rFonts w:hint="eastAsia"/>
                <w:kern w:val="0"/>
                <w:sz w:val="20"/>
              </w:rPr>
              <w:t>0.75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0.08～0.20</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9" w:type="dxa"/>
            <w:vAlign w:val="center"/>
          </w:tcPr>
          <w:p>
            <w:pPr>
              <w:rPr>
                <w:kern w:val="0"/>
                <w:sz w:val="20"/>
              </w:rPr>
            </w:pPr>
            <w:r>
              <w:rPr>
                <w:rFonts w:hint="eastAsia"/>
                <w:kern w:val="0"/>
                <w:sz w:val="20"/>
              </w:rPr>
              <w:t>2307</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2.0</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0.03</w:t>
            </w:r>
          </w:p>
        </w:tc>
        <w:tc>
          <w:tcPr>
            <w:tcW w:w="709" w:type="dxa"/>
            <w:vAlign w:val="center"/>
          </w:tcPr>
          <w:p>
            <w:pPr>
              <w:jc w:val="center"/>
              <w:rPr>
                <w:kern w:val="0"/>
                <w:sz w:val="20"/>
              </w:rPr>
            </w:pPr>
            <w:r>
              <w:rPr>
                <w:rFonts w:hint="eastAsia"/>
                <w:kern w:val="0"/>
                <w:sz w:val="20"/>
              </w:rPr>
              <w:t>0.02</w:t>
            </w:r>
          </w:p>
        </w:tc>
        <w:tc>
          <w:tcPr>
            <w:tcW w:w="1134" w:type="dxa"/>
            <w:vAlign w:val="center"/>
          </w:tcPr>
          <w:p>
            <w:pPr>
              <w:jc w:val="center"/>
              <w:rPr>
                <w:kern w:val="0"/>
                <w:sz w:val="20"/>
              </w:rPr>
            </w:pPr>
            <w:r>
              <w:rPr>
                <w:rFonts w:hint="eastAsia"/>
                <w:kern w:val="0"/>
                <w:sz w:val="20"/>
              </w:rPr>
              <w:t>6.5～10.0</w:t>
            </w:r>
          </w:p>
        </w:tc>
        <w:tc>
          <w:tcPr>
            <w:tcW w:w="1276" w:type="dxa"/>
            <w:vAlign w:val="center"/>
          </w:tcPr>
          <w:p>
            <w:pPr>
              <w:jc w:val="center"/>
              <w:rPr>
                <w:kern w:val="0"/>
                <w:sz w:val="20"/>
              </w:rPr>
            </w:pPr>
            <w:r>
              <w:rPr>
                <w:rFonts w:hint="eastAsia"/>
                <w:kern w:val="0"/>
                <w:sz w:val="20"/>
              </w:rPr>
              <w:t>22.5～25.5</w:t>
            </w:r>
          </w:p>
        </w:tc>
        <w:tc>
          <w:tcPr>
            <w:tcW w:w="1275" w:type="dxa"/>
            <w:vAlign w:val="center"/>
          </w:tcPr>
          <w:p>
            <w:pPr>
              <w:jc w:val="center"/>
              <w:rPr>
                <w:kern w:val="0"/>
                <w:sz w:val="20"/>
              </w:rPr>
            </w:pPr>
            <w:r>
              <w:rPr>
                <w:rFonts w:hint="eastAsia"/>
                <w:kern w:val="0"/>
                <w:sz w:val="20"/>
              </w:rPr>
              <w:t>0.8</w:t>
            </w:r>
          </w:p>
        </w:tc>
        <w:tc>
          <w:tcPr>
            <w:tcW w:w="993" w:type="dxa"/>
            <w:vAlign w:val="center"/>
          </w:tcPr>
          <w:p>
            <w:pPr>
              <w:jc w:val="center"/>
              <w:rPr>
                <w:kern w:val="0"/>
                <w:sz w:val="20"/>
              </w:rPr>
            </w:pPr>
            <w:r>
              <w:rPr>
                <w:rFonts w:hint="eastAsia"/>
                <w:kern w:val="0"/>
                <w:sz w:val="20"/>
              </w:rPr>
              <w:t>0.50</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0.10～0.20</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2553</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0.5～1.5</w:t>
            </w:r>
          </w:p>
        </w:tc>
        <w:tc>
          <w:tcPr>
            <w:tcW w:w="567" w:type="dxa"/>
            <w:vAlign w:val="center"/>
          </w:tcPr>
          <w:p>
            <w:pPr>
              <w:jc w:val="center"/>
              <w:rPr>
                <w:kern w:val="0"/>
                <w:sz w:val="20"/>
              </w:rPr>
            </w:pPr>
            <w:r>
              <w:rPr>
                <w:rFonts w:hint="eastAsia"/>
                <w:kern w:val="0"/>
                <w:sz w:val="20"/>
              </w:rPr>
              <w:t>0.75</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8.5～10.5</w:t>
            </w:r>
          </w:p>
        </w:tc>
        <w:tc>
          <w:tcPr>
            <w:tcW w:w="1276" w:type="dxa"/>
            <w:vAlign w:val="center"/>
          </w:tcPr>
          <w:p>
            <w:pPr>
              <w:jc w:val="center"/>
              <w:rPr>
                <w:kern w:val="0"/>
                <w:sz w:val="20"/>
              </w:rPr>
            </w:pPr>
            <w:r>
              <w:rPr>
                <w:rFonts w:hint="eastAsia"/>
                <w:kern w:val="0"/>
                <w:sz w:val="20"/>
              </w:rPr>
              <w:t>24.0～27.0</w:t>
            </w:r>
          </w:p>
        </w:tc>
        <w:tc>
          <w:tcPr>
            <w:tcW w:w="1275" w:type="dxa"/>
            <w:vAlign w:val="center"/>
          </w:tcPr>
          <w:p>
            <w:pPr>
              <w:jc w:val="center"/>
              <w:rPr>
                <w:kern w:val="0"/>
                <w:sz w:val="20"/>
              </w:rPr>
            </w:pPr>
            <w:r>
              <w:rPr>
                <w:rFonts w:hint="eastAsia"/>
                <w:kern w:val="0"/>
                <w:sz w:val="20"/>
              </w:rPr>
              <w:t>2.9～3.9</w:t>
            </w:r>
          </w:p>
        </w:tc>
        <w:tc>
          <w:tcPr>
            <w:tcW w:w="993" w:type="dxa"/>
            <w:vAlign w:val="center"/>
          </w:tcPr>
          <w:p>
            <w:pPr>
              <w:jc w:val="center"/>
              <w:rPr>
                <w:kern w:val="0"/>
                <w:sz w:val="20"/>
              </w:rPr>
            </w:pPr>
            <w:r>
              <w:rPr>
                <w:rFonts w:hint="eastAsia"/>
                <w:kern w:val="0"/>
                <w:sz w:val="20"/>
              </w:rPr>
              <w:t>1.5～2.5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0.10～0.25</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2594</w:t>
            </w:r>
          </w:p>
        </w:tc>
        <w:tc>
          <w:tcPr>
            <w:tcW w:w="1134" w:type="dxa"/>
            <w:vAlign w:val="center"/>
          </w:tcPr>
          <w:p>
            <w:pPr>
              <w:jc w:val="center"/>
              <w:rPr>
                <w:kern w:val="0"/>
                <w:sz w:val="20"/>
              </w:rPr>
            </w:pPr>
            <w:r>
              <w:rPr>
                <w:rFonts w:hint="eastAsia"/>
                <w:kern w:val="0"/>
                <w:sz w:val="20"/>
              </w:rPr>
              <w:t>0.04</w:t>
            </w:r>
          </w:p>
        </w:tc>
        <w:tc>
          <w:tcPr>
            <w:tcW w:w="1134" w:type="dxa"/>
            <w:vAlign w:val="center"/>
          </w:tcPr>
          <w:p>
            <w:pPr>
              <w:jc w:val="center"/>
              <w:rPr>
                <w:kern w:val="0"/>
                <w:sz w:val="20"/>
              </w:rPr>
            </w:pPr>
            <w:r>
              <w:rPr>
                <w:rFonts w:hint="eastAsia"/>
                <w:kern w:val="0"/>
                <w:sz w:val="20"/>
              </w:rPr>
              <w:t>0.5～2.5</w:t>
            </w:r>
          </w:p>
        </w:tc>
        <w:tc>
          <w:tcPr>
            <w:tcW w:w="567" w:type="dxa"/>
            <w:vAlign w:val="center"/>
          </w:tcPr>
          <w:p>
            <w:pPr>
              <w:jc w:val="center"/>
              <w:rPr>
                <w:kern w:val="0"/>
                <w:sz w:val="20"/>
              </w:rPr>
            </w:pPr>
            <w:r>
              <w:rPr>
                <w:rFonts w:hint="eastAsia"/>
                <w:kern w:val="0"/>
                <w:sz w:val="20"/>
              </w:rPr>
              <w:t>1.0</w:t>
            </w:r>
          </w:p>
        </w:tc>
        <w:tc>
          <w:tcPr>
            <w:tcW w:w="709" w:type="dxa"/>
            <w:vAlign w:val="center"/>
          </w:tcPr>
          <w:p>
            <w:pPr>
              <w:jc w:val="center"/>
              <w:rPr>
                <w:kern w:val="0"/>
                <w:sz w:val="20"/>
              </w:rPr>
            </w:pPr>
            <w:r>
              <w:rPr>
                <w:rFonts w:hint="eastAsia"/>
                <w:kern w:val="0"/>
                <w:sz w:val="20"/>
              </w:rPr>
              <w:t>0.04</w:t>
            </w:r>
          </w:p>
        </w:tc>
        <w:tc>
          <w:tcPr>
            <w:tcW w:w="709" w:type="dxa"/>
            <w:vAlign w:val="center"/>
          </w:tcPr>
          <w:p>
            <w:pPr>
              <w:jc w:val="center"/>
              <w:rPr>
                <w:kern w:val="0"/>
                <w:sz w:val="20"/>
              </w:rPr>
            </w:pPr>
            <w:r>
              <w:rPr>
                <w:rFonts w:hint="eastAsia"/>
                <w:kern w:val="0"/>
                <w:sz w:val="20"/>
              </w:rPr>
              <w:t>0.03</w:t>
            </w:r>
          </w:p>
        </w:tc>
        <w:tc>
          <w:tcPr>
            <w:tcW w:w="1134" w:type="dxa"/>
            <w:vAlign w:val="center"/>
          </w:tcPr>
          <w:p>
            <w:pPr>
              <w:jc w:val="center"/>
              <w:rPr>
                <w:kern w:val="0"/>
                <w:sz w:val="20"/>
              </w:rPr>
            </w:pPr>
            <w:r>
              <w:rPr>
                <w:rFonts w:hint="eastAsia"/>
                <w:kern w:val="0"/>
                <w:sz w:val="20"/>
              </w:rPr>
              <w:t>8.0～10.5</w:t>
            </w:r>
          </w:p>
        </w:tc>
        <w:tc>
          <w:tcPr>
            <w:tcW w:w="1276" w:type="dxa"/>
            <w:vAlign w:val="center"/>
          </w:tcPr>
          <w:p>
            <w:pPr>
              <w:jc w:val="center"/>
              <w:rPr>
                <w:kern w:val="0"/>
                <w:sz w:val="20"/>
              </w:rPr>
            </w:pPr>
            <w:r>
              <w:rPr>
                <w:rFonts w:hint="eastAsia"/>
                <w:kern w:val="0"/>
                <w:sz w:val="20"/>
              </w:rPr>
              <w:t>24.0～27.0</w:t>
            </w:r>
          </w:p>
        </w:tc>
        <w:tc>
          <w:tcPr>
            <w:tcW w:w="1275" w:type="dxa"/>
            <w:vAlign w:val="center"/>
          </w:tcPr>
          <w:p>
            <w:pPr>
              <w:jc w:val="center"/>
              <w:rPr>
                <w:kern w:val="0"/>
                <w:sz w:val="20"/>
              </w:rPr>
            </w:pPr>
            <w:r>
              <w:rPr>
                <w:rFonts w:hint="eastAsia"/>
                <w:kern w:val="0"/>
                <w:sz w:val="20"/>
              </w:rPr>
              <w:t>2.5～4.5</w:t>
            </w:r>
          </w:p>
        </w:tc>
        <w:tc>
          <w:tcPr>
            <w:tcW w:w="993" w:type="dxa"/>
            <w:vAlign w:val="center"/>
          </w:tcPr>
          <w:p>
            <w:pPr>
              <w:jc w:val="center"/>
              <w:rPr>
                <w:kern w:val="0"/>
                <w:sz w:val="20"/>
              </w:rPr>
            </w:pPr>
            <w:r>
              <w:rPr>
                <w:rFonts w:hint="eastAsia"/>
                <w:kern w:val="0"/>
                <w:sz w:val="20"/>
              </w:rPr>
              <w:t>1.5</w:t>
            </w:r>
          </w:p>
        </w:tc>
        <w:tc>
          <w:tcPr>
            <w:tcW w:w="1134" w:type="dxa"/>
            <w:vAlign w:val="center"/>
          </w:tcPr>
          <w:p>
            <w:pPr>
              <w:jc w:val="center"/>
              <w:rPr>
                <w:kern w:val="0"/>
                <w:sz w:val="20"/>
              </w:rPr>
            </w:pPr>
            <w:r>
              <w:rPr>
                <w:rFonts w:hint="eastAsia"/>
                <w:kern w:val="0"/>
                <w:sz w:val="20"/>
              </w:rPr>
              <w:t>—</w:t>
            </w:r>
          </w:p>
        </w:tc>
        <w:tc>
          <w:tcPr>
            <w:tcW w:w="1133" w:type="dxa"/>
            <w:vAlign w:val="center"/>
          </w:tcPr>
          <w:p>
            <w:pPr>
              <w:jc w:val="center"/>
              <w:rPr>
                <w:kern w:val="0"/>
                <w:sz w:val="20"/>
              </w:rPr>
            </w:pPr>
            <w:r>
              <w:rPr>
                <w:rFonts w:hint="eastAsia"/>
                <w:kern w:val="0"/>
                <w:sz w:val="20"/>
              </w:rPr>
              <w:t>0.20～0.30</w:t>
            </w:r>
          </w:p>
        </w:tc>
        <w:tc>
          <w:tcPr>
            <w:tcW w:w="1621" w:type="dxa"/>
            <w:vAlign w:val="center"/>
          </w:tcPr>
          <w:p>
            <w:pPr>
              <w:jc w:val="center"/>
              <w:rPr>
                <w:kern w:val="0"/>
                <w:sz w:val="20"/>
              </w:rPr>
            </w:pPr>
            <w:r>
              <w:rPr>
                <w:rFonts w:hint="eastAsia"/>
                <w:kern w:val="0"/>
                <w:sz w:val="20"/>
              </w:rPr>
              <w:t>W：1.0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vAlign w:val="center"/>
          </w:tcPr>
          <w:p>
            <w:pPr>
              <w:rPr>
                <w:kern w:val="0"/>
                <w:sz w:val="20"/>
              </w:rPr>
            </w:pPr>
            <w:r>
              <w:rPr>
                <w:rFonts w:hint="eastAsia"/>
                <w:kern w:val="0"/>
                <w:sz w:val="20"/>
              </w:rPr>
              <w:t>GXa</w:t>
            </w:r>
          </w:p>
        </w:tc>
        <w:tc>
          <w:tcPr>
            <w:tcW w:w="12819" w:type="dxa"/>
            <w:gridSpan w:val="12"/>
            <w:vAlign w:val="center"/>
          </w:tcPr>
          <w:p>
            <w:pPr>
              <w:rPr>
                <w:kern w:val="0"/>
                <w:sz w:val="20"/>
              </w:rPr>
            </w:pPr>
            <w:r>
              <w:rPr>
                <w:rFonts w:hint="eastAsia"/>
                <w:kern w:val="0"/>
                <w:sz w:val="20"/>
              </w:rPr>
              <w:t>其他协定成分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948" w:type="dxa"/>
            <w:gridSpan w:val="13"/>
            <w:vAlign w:val="center"/>
          </w:tcPr>
          <w:p>
            <w:pPr>
              <w:rPr>
                <w:kern w:val="0"/>
                <w:sz w:val="20"/>
              </w:rPr>
            </w:pPr>
            <w:r>
              <w:rPr>
                <w:rFonts w:hint="eastAsia"/>
                <w:kern w:val="0"/>
                <w:sz w:val="20"/>
              </w:rPr>
              <w:t>注：表中单值均为最大值。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48" w:type="dxa"/>
            <w:gridSpan w:val="13"/>
            <w:vAlign w:val="center"/>
          </w:tcPr>
          <w:p>
            <w:pPr>
              <w:rPr>
                <w:kern w:val="0"/>
                <w:sz w:val="20"/>
              </w:rPr>
            </w:pPr>
            <w:r>
              <w:rPr>
                <w:rFonts w:hint="eastAsia"/>
                <w:kern w:val="0"/>
                <w:sz w:val="20"/>
              </w:rPr>
              <w:t>a 表中未列出的分类可用相类似的分类表示，词头加字母“G”。化学成分范围不进行规定，两种分类之间不可替换。</w:t>
            </w:r>
          </w:p>
        </w:tc>
      </w:tr>
    </w:tbl>
    <w:p>
      <w:pPr>
        <w:jc w:val="center"/>
      </w:pPr>
    </w:p>
    <w:p>
      <w:pPr>
        <w:jc w:val="center"/>
        <w:rPr>
          <w:rFonts w:asciiTheme="minorEastAsia" w:hAnsiTheme="minorEastAsia" w:eastAsiaTheme="minorEastAsia"/>
        </w:rPr>
      </w:pPr>
    </w:p>
    <w:p>
      <w:pPr>
        <w:pStyle w:val="87"/>
        <w:jc w:val="center"/>
        <w:rPr>
          <w:sz w:val="21"/>
          <w:szCs w:val="21"/>
        </w:rPr>
      </w:pPr>
      <w:bookmarkStart w:id="37" w:name="_Toc131325355"/>
      <w:r>
        <w:rPr>
          <w:rFonts w:hint="eastAsia"/>
          <w:sz w:val="21"/>
          <w:szCs w:val="21"/>
        </w:rPr>
        <w:t xml:space="preserve">表 </w:t>
      </w:r>
      <w:r>
        <w:rPr>
          <w:sz w:val="21"/>
          <w:szCs w:val="21"/>
        </w:rPr>
        <w:t>B</w:t>
      </w:r>
      <w:r>
        <w:rPr>
          <w:rFonts w:hint="eastAsia"/>
          <w:sz w:val="21"/>
          <w:szCs w:val="21"/>
        </w:rPr>
        <w:t>.</w:t>
      </w:r>
      <w:r>
        <w:rPr>
          <w:sz w:val="21"/>
          <w:szCs w:val="21"/>
        </w:rPr>
        <w:t xml:space="preserve">2 </w:t>
      </w:r>
      <w:r>
        <w:rPr>
          <w:rFonts w:hint="eastAsia"/>
          <w:sz w:val="21"/>
          <w:szCs w:val="21"/>
        </w:rPr>
        <w:t>奥氏体不锈钢药芯焊丝气体保护金属粉型药芯焊丝熔敷金属化学成分</w:t>
      </w:r>
      <w:bookmarkEnd w:id="37"/>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570"/>
        <w:gridCol w:w="669"/>
        <w:gridCol w:w="769"/>
        <w:gridCol w:w="568"/>
        <w:gridCol w:w="568"/>
        <w:gridCol w:w="769"/>
        <w:gridCol w:w="769"/>
        <w:gridCol w:w="669"/>
        <w:gridCol w:w="566"/>
        <w:gridCol w:w="954"/>
        <w:gridCol w:w="417"/>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Merge w:val="restart"/>
            <w:vAlign w:val="center"/>
          </w:tcPr>
          <w:p>
            <w:pPr>
              <w:rPr>
                <w:kern w:val="0"/>
                <w:sz w:val="20"/>
              </w:rPr>
            </w:pPr>
            <w:r>
              <w:rPr>
                <w:rFonts w:hint="eastAsia"/>
                <w:kern w:val="0"/>
                <w:sz w:val="20"/>
              </w:rPr>
              <w:t>化学成分分类</w:t>
            </w:r>
          </w:p>
        </w:tc>
        <w:tc>
          <w:tcPr>
            <w:tcW w:w="12443" w:type="dxa"/>
            <w:gridSpan w:val="12"/>
            <w:vAlign w:val="center"/>
          </w:tcPr>
          <w:p>
            <w:pPr>
              <w:jc w:val="center"/>
              <w:rPr>
                <w:kern w:val="0"/>
                <w:sz w:val="20"/>
              </w:rPr>
            </w:pPr>
            <w:r>
              <w:rPr>
                <w:rFonts w:hint="eastAsia"/>
                <w:kern w:val="0"/>
                <w:sz w:val="20"/>
              </w:rPr>
              <w:t>化学成分（质量分数，wt%）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Merge w:val="continue"/>
            <w:vAlign w:val="center"/>
          </w:tcPr>
          <w:p>
            <w:pPr>
              <w:rPr>
                <w:kern w:val="0"/>
                <w:sz w:val="20"/>
              </w:rPr>
            </w:pPr>
          </w:p>
        </w:tc>
        <w:tc>
          <w:tcPr>
            <w:tcW w:w="1009" w:type="dxa"/>
            <w:vAlign w:val="center"/>
          </w:tcPr>
          <w:p>
            <w:pPr>
              <w:jc w:val="center"/>
              <w:rPr>
                <w:kern w:val="0"/>
                <w:sz w:val="20"/>
              </w:rPr>
            </w:pPr>
            <w:r>
              <w:rPr>
                <w:rFonts w:hint="eastAsia"/>
                <w:kern w:val="0"/>
                <w:sz w:val="20"/>
              </w:rPr>
              <w:t>C</w:t>
            </w:r>
          </w:p>
        </w:tc>
        <w:tc>
          <w:tcPr>
            <w:tcW w:w="1009" w:type="dxa"/>
            <w:vAlign w:val="center"/>
          </w:tcPr>
          <w:p>
            <w:pPr>
              <w:jc w:val="center"/>
              <w:rPr>
                <w:kern w:val="0"/>
                <w:sz w:val="20"/>
              </w:rPr>
            </w:pPr>
            <w:r>
              <w:rPr>
                <w:rFonts w:hint="eastAsia"/>
                <w:kern w:val="0"/>
                <w:sz w:val="20"/>
              </w:rPr>
              <w:t>Mn</w:t>
            </w:r>
          </w:p>
        </w:tc>
        <w:tc>
          <w:tcPr>
            <w:tcW w:w="1161" w:type="dxa"/>
            <w:vAlign w:val="center"/>
          </w:tcPr>
          <w:p>
            <w:pPr>
              <w:jc w:val="center"/>
              <w:rPr>
                <w:kern w:val="0"/>
                <w:sz w:val="20"/>
              </w:rPr>
            </w:pPr>
            <w:r>
              <w:rPr>
                <w:rFonts w:hint="eastAsia"/>
                <w:kern w:val="0"/>
                <w:sz w:val="20"/>
              </w:rPr>
              <w:t>Si</w:t>
            </w:r>
          </w:p>
        </w:tc>
        <w:tc>
          <w:tcPr>
            <w:tcW w:w="858" w:type="dxa"/>
            <w:vAlign w:val="center"/>
          </w:tcPr>
          <w:p>
            <w:pPr>
              <w:jc w:val="center"/>
              <w:rPr>
                <w:kern w:val="0"/>
                <w:sz w:val="20"/>
              </w:rPr>
            </w:pPr>
            <w:r>
              <w:rPr>
                <w:rFonts w:hint="eastAsia"/>
                <w:kern w:val="0"/>
                <w:sz w:val="20"/>
              </w:rPr>
              <w:t>P</w:t>
            </w:r>
          </w:p>
        </w:tc>
        <w:tc>
          <w:tcPr>
            <w:tcW w:w="858" w:type="dxa"/>
            <w:vAlign w:val="center"/>
          </w:tcPr>
          <w:p>
            <w:pPr>
              <w:jc w:val="center"/>
              <w:rPr>
                <w:kern w:val="0"/>
                <w:sz w:val="20"/>
              </w:rPr>
            </w:pPr>
            <w:r>
              <w:rPr>
                <w:rFonts w:hint="eastAsia"/>
                <w:kern w:val="0"/>
                <w:sz w:val="20"/>
              </w:rPr>
              <w:t>S</w:t>
            </w:r>
          </w:p>
        </w:tc>
        <w:tc>
          <w:tcPr>
            <w:tcW w:w="1161" w:type="dxa"/>
            <w:vAlign w:val="center"/>
          </w:tcPr>
          <w:p>
            <w:pPr>
              <w:jc w:val="center"/>
              <w:rPr>
                <w:kern w:val="0"/>
                <w:sz w:val="20"/>
              </w:rPr>
            </w:pPr>
            <w:r>
              <w:rPr>
                <w:rFonts w:hint="eastAsia"/>
                <w:kern w:val="0"/>
                <w:sz w:val="20"/>
              </w:rPr>
              <w:t>Ni</w:t>
            </w:r>
          </w:p>
        </w:tc>
        <w:tc>
          <w:tcPr>
            <w:tcW w:w="1161" w:type="dxa"/>
            <w:vAlign w:val="center"/>
          </w:tcPr>
          <w:p>
            <w:pPr>
              <w:jc w:val="center"/>
              <w:rPr>
                <w:kern w:val="0"/>
                <w:sz w:val="20"/>
              </w:rPr>
            </w:pPr>
            <w:r>
              <w:rPr>
                <w:rFonts w:hint="eastAsia"/>
                <w:kern w:val="0"/>
                <w:sz w:val="20"/>
              </w:rPr>
              <w:t>Cr</w:t>
            </w:r>
          </w:p>
        </w:tc>
        <w:tc>
          <w:tcPr>
            <w:tcW w:w="1009" w:type="dxa"/>
            <w:vAlign w:val="center"/>
          </w:tcPr>
          <w:p>
            <w:pPr>
              <w:jc w:val="center"/>
              <w:rPr>
                <w:kern w:val="0"/>
                <w:sz w:val="20"/>
              </w:rPr>
            </w:pPr>
            <w:r>
              <w:rPr>
                <w:rFonts w:hint="eastAsia"/>
                <w:kern w:val="0"/>
                <w:sz w:val="20"/>
              </w:rPr>
              <w:t>Mo</w:t>
            </w:r>
          </w:p>
        </w:tc>
        <w:tc>
          <w:tcPr>
            <w:tcW w:w="612" w:type="dxa"/>
            <w:vAlign w:val="center"/>
          </w:tcPr>
          <w:p>
            <w:pPr>
              <w:jc w:val="center"/>
              <w:rPr>
                <w:kern w:val="0"/>
                <w:sz w:val="20"/>
              </w:rPr>
            </w:pPr>
            <w:r>
              <w:rPr>
                <w:rFonts w:hint="eastAsia"/>
                <w:kern w:val="0"/>
                <w:sz w:val="20"/>
              </w:rPr>
              <w:t>Cu</w:t>
            </w:r>
          </w:p>
        </w:tc>
        <w:tc>
          <w:tcPr>
            <w:tcW w:w="1473" w:type="dxa"/>
            <w:vAlign w:val="center"/>
          </w:tcPr>
          <w:p>
            <w:pPr>
              <w:jc w:val="center"/>
              <w:rPr>
                <w:kern w:val="0"/>
                <w:sz w:val="20"/>
              </w:rPr>
            </w:pPr>
            <w:r>
              <w:rPr>
                <w:rFonts w:hint="eastAsia"/>
                <w:kern w:val="0"/>
                <w:sz w:val="20"/>
              </w:rPr>
              <w:t>Nb+Ta</w:t>
            </w:r>
          </w:p>
        </w:tc>
        <w:tc>
          <w:tcPr>
            <w:tcW w:w="511" w:type="dxa"/>
            <w:vAlign w:val="center"/>
          </w:tcPr>
          <w:p>
            <w:pPr>
              <w:jc w:val="center"/>
              <w:rPr>
                <w:kern w:val="0"/>
                <w:sz w:val="20"/>
              </w:rPr>
            </w:pPr>
            <w:r>
              <w:rPr>
                <w:rFonts w:hint="eastAsia"/>
                <w:kern w:val="0"/>
                <w:sz w:val="20"/>
              </w:rPr>
              <w:t>N</w:t>
            </w:r>
          </w:p>
        </w:tc>
        <w:tc>
          <w:tcPr>
            <w:tcW w:w="1621" w:type="dxa"/>
          </w:tcPr>
          <w:p>
            <w:pPr>
              <w:jc w:val="center"/>
              <w:rPr>
                <w:kern w:val="0"/>
                <w:sz w:val="20"/>
              </w:rPr>
            </w:pPr>
            <w:r>
              <w:rPr>
                <w:rFonts w:hint="eastAsia"/>
                <w:kern w:val="0"/>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308L</w:t>
            </w:r>
          </w:p>
        </w:tc>
        <w:tc>
          <w:tcPr>
            <w:tcW w:w="1009" w:type="dxa"/>
            <w:vAlign w:val="center"/>
          </w:tcPr>
          <w:p>
            <w:pPr>
              <w:jc w:val="center"/>
              <w:rPr>
                <w:kern w:val="0"/>
                <w:sz w:val="20"/>
              </w:rPr>
            </w:pPr>
            <w:r>
              <w:rPr>
                <w:rFonts w:hint="eastAsia"/>
                <w:kern w:val="0"/>
                <w:sz w:val="20"/>
              </w:rPr>
              <w:t>0.04</w:t>
            </w:r>
          </w:p>
        </w:tc>
        <w:tc>
          <w:tcPr>
            <w:tcW w:w="1009" w:type="dxa"/>
            <w:vAlign w:val="center"/>
          </w:tcPr>
          <w:p>
            <w:pPr>
              <w:jc w:val="center"/>
              <w:rPr>
                <w:kern w:val="0"/>
                <w:sz w:val="20"/>
              </w:rPr>
            </w:pPr>
            <w:r>
              <w:rPr>
                <w:rFonts w:hint="eastAsia"/>
                <w:kern w:val="0"/>
                <w:sz w:val="20"/>
              </w:rPr>
              <w:t>1.5～2.5</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9.0～11.0</w:t>
            </w:r>
          </w:p>
        </w:tc>
        <w:tc>
          <w:tcPr>
            <w:tcW w:w="1161" w:type="dxa"/>
            <w:vAlign w:val="center"/>
          </w:tcPr>
          <w:p>
            <w:pPr>
              <w:jc w:val="center"/>
              <w:rPr>
                <w:kern w:val="0"/>
                <w:sz w:val="20"/>
              </w:rPr>
            </w:pPr>
            <w:r>
              <w:rPr>
                <w:rFonts w:hint="eastAsia"/>
                <w:kern w:val="0"/>
                <w:sz w:val="20"/>
              </w:rPr>
              <w:t>19.0～22.0</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308Mo</w:t>
            </w:r>
          </w:p>
        </w:tc>
        <w:tc>
          <w:tcPr>
            <w:tcW w:w="1009" w:type="dxa"/>
            <w:vAlign w:val="center"/>
          </w:tcPr>
          <w:p>
            <w:pPr>
              <w:jc w:val="center"/>
              <w:rPr>
                <w:kern w:val="0"/>
                <w:sz w:val="20"/>
              </w:rPr>
            </w:pPr>
            <w:r>
              <w:rPr>
                <w:rFonts w:hint="eastAsia"/>
                <w:kern w:val="0"/>
                <w:sz w:val="20"/>
              </w:rPr>
              <w:t>0.08</w:t>
            </w:r>
          </w:p>
        </w:tc>
        <w:tc>
          <w:tcPr>
            <w:tcW w:w="1009" w:type="dxa"/>
            <w:vAlign w:val="center"/>
          </w:tcPr>
          <w:p>
            <w:pPr>
              <w:jc w:val="center"/>
              <w:rPr>
                <w:kern w:val="0"/>
                <w:sz w:val="20"/>
              </w:rPr>
            </w:pPr>
            <w:r>
              <w:rPr>
                <w:rFonts w:hint="eastAsia"/>
                <w:kern w:val="0"/>
                <w:sz w:val="20"/>
              </w:rPr>
              <w:t>1.0～2.5</w:t>
            </w:r>
          </w:p>
        </w:tc>
        <w:tc>
          <w:tcPr>
            <w:tcW w:w="1161" w:type="dxa"/>
            <w:vAlign w:val="center"/>
          </w:tcPr>
          <w:p>
            <w:pPr>
              <w:jc w:val="center"/>
              <w:rPr>
                <w:kern w:val="0"/>
                <w:sz w:val="20"/>
              </w:rPr>
            </w:pPr>
            <w:r>
              <w:rPr>
                <w:rFonts w:hint="eastAsia"/>
                <w:kern w:val="0"/>
                <w:sz w:val="20"/>
              </w:rPr>
              <w:t>0.30～0.65</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9.0～12.0</w:t>
            </w:r>
          </w:p>
        </w:tc>
        <w:tc>
          <w:tcPr>
            <w:tcW w:w="1161" w:type="dxa"/>
            <w:vAlign w:val="center"/>
          </w:tcPr>
          <w:p>
            <w:pPr>
              <w:jc w:val="center"/>
              <w:rPr>
                <w:kern w:val="0"/>
                <w:sz w:val="20"/>
              </w:rPr>
            </w:pPr>
            <w:r>
              <w:rPr>
                <w:rFonts w:hint="eastAsia"/>
                <w:kern w:val="0"/>
                <w:sz w:val="20"/>
              </w:rPr>
              <w:t>18.0～21.0</w:t>
            </w:r>
          </w:p>
        </w:tc>
        <w:tc>
          <w:tcPr>
            <w:tcW w:w="1009" w:type="dxa"/>
            <w:vAlign w:val="center"/>
          </w:tcPr>
          <w:p>
            <w:pPr>
              <w:jc w:val="center"/>
              <w:rPr>
                <w:kern w:val="0"/>
                <w:sz w:val="20"/>
              </w:rPr>
            </w:pPr>
            <w:r>
              <w:rPr>
                <w:rFonts w:hint="eastAsia"/>
                <w:kern w:val="0"/>
                <w:sz w:val="20"/>
              </w:rPr>
              <w:t>2.0～3.0</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309L</w:t>
            </w:r>
          </w:p>
        </w:tc>
        <w:tc>
          <w:tcPr>
            <w:tcW w:w="1009" w:type="dxa"/>
            <w:vAlign w:val="center"/>
          </w:tcPr>
          <w:p>
            <w:pPr>
              <w:jc w:val="center"/>
              <w:rPr>
                <w:kern w:val="0"/>
                <w:sz w:val="20"/>
              </w:rPr>
            </w:pPr>
            <w:r>
              <w:rPr>
                <w:rFonts w:hint="eastAsia"/>
                <w:kern w:val="0"/>
                <w:sz w:val="20"/>
              </w:rPr>
              <w:t>0.04</w:t>
            </w:r>
          </w:p>
        </w:tc>
        <w:tc>
          <w:tcPr>
            <w:tcW w:w="1009" w:type="dxa"/>
            <w:vAlign w:val="center"/>
          </w:tcPr>
          <w:p>
            <w:pPr>
              <w:jc w:val="center"/>
              <w:rPr>
                <w:kern w:val="0"/>
                <w:sz w:val="20"/>
              </w:rPr>
            </w:pPr>
            <w:r>
              <w:rPr>
                <w:rFonts w:hint="eastAsia"/>
                <w:kern w:val="0"/>
                <w:sz w:val="20"/>
              </w:rPr>
              <w:t>1.0～2.5</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12.0～14.0</w:t>
            </w:r>
          </w:p>
        </w:tc>
        <w:tc>
          <w:tcPr>
            <w:tcW w:w="1161" w:type="dxa"/>
            <w:vAlign w:val="center"/>
          </w:tcPr>
          <w:p>
            <w:pPr>
              <w:jc w:val="center"/>
              <w:rPr>
                <w:kern w:val="0"/>
                <w:sz w:val="20"/>
              </w:rPr>
            </w:pPr>
            <w:r>
              <w:rPr>
                <w:rFonts w:hint="eastAsia"/>
                <w:kern w:val="0"/>
                <w:sz w:val="20"/>
              </w:rPr>
              <w:t>23.0～25.0</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309LMo</w:t>
            </w:r>
          </w:p>
        </w:tc>
        <w:tc>
          <w:tcPr>
            <w:tcW w:w="1009" w:type="dxa"/>
            <w:vAlign w:val="center"/>
          </w:tcPr>
          <w:p>
            <w:pPr>
              <w:jc w:val="center"/>
              <w:rPr>
                <w:kern w:val="0"/>
                <w:sz w:val="20"/>
              </w:rPr>
            </w:pPr>
            <w:r>
              <w:rPr>
                <w:rFonts w:hint="eastAsia"/>
                <w:kern w:val="0"/>
                <w:sz w:val="20"/>
              </w:rPr>
              <w:t>0.04</w:t>
            </w:r>
          </w:p>
        </w:tc>
        <w:tc>
          <w:tcPr>
            <w:tcW w:w="1009" w:type="dxa"/>
            <w:vAlign w:val="center"/>
          </w:tcPr>
          <w:p>
            <w:pPr>
              <w:jc w:val="center"/>
              <w:rPr>
                <w:kern w:val="0"/>
                <w:sz w:val="20"/>
              </w:rPr>
            </w:pPr>
            <w:r>
              <w:rPr>
                <w:rFonts w:hint="eastAsia"/>
                <w:kern w:val="0"/>
                <w:sz w:val="20"/>
              </w:rPr>
              <w:t>1.0～2.5</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12.0～14.0</w:t>
            </w:r>
          </w:p>
        </w:tc>
        <w:tc>
          <w:tcPr>
            <w:tcW w:w="1161" w:type="dxa"/>
            <w:vAlign w:val="center"/>
          </w:tcPr>
          <w:p>
            <w:pPr>
              <w:jc w:val="center"/>
              <w:rPr>
                <w:kern w:val="0"/>
                <w:sz w:val="20"/>
              </w:rPr>
            </w:pPr>
            <w:r>
              <w:rPr>
                <w:rFonts w:hint="eastAsia"/>
                <w:kern w:val="0"/>
                <w:sz w:val="20"/>
              </w:rPr>
              <w:t>23.0～25.0</w:t>
            </w:r>
          </w:p>
        </w:tc>
        <w:tc>
          <w:tcPr>
            <w:tcW w:w="1009" w:type="dxa"/>
            <w:vAlign w:val="center"/>
          </w:tcPr>
          <w:p>
            <w:pPr>
              <w:jc w:val="center"/>
              <w:rPr>
                <w:kern w:val="0"/>
                <w:sz w:val="20"/>
              </w:rPr>
            </w:pPr>
            <w:r>
              <w:rPr>
                <w:rFonts w:hint="eastAsia"/>
                <w:kern w:val="0"/>
                <w:sz w:val="20"/>
              </w:rPr>
              <w:t>2.0～3.0</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 xml:space="preserve">316L </w:t>
            </w:r>
          </w:p>
        </w:tc>
        <w:tc>
          <w:tcPr>
            <w:tcW w:w="1009" w:type="dxa"/>
            <w:vAlign w:val="center"/>
          </w:tcPr>
          <w:p>
            <w:pPr>
              <w:jc w:val="center"/>
              <w:rPr>
                <w:kern w:val="0"/>
                <w:sz w:val="20"/>
              </w:rPr>
            </w:pPr>
            <w:r>
              <w:rPr>
                <w:rFonts w:hint="eastAsia"/>
                <w:kern w:val="0"/>
                <w:sz w:val="20"/>
              </w:rPr>
              <w:t>0.04</w:t>
            </w:r>
          </w:p>
        </w:tc>
        <w:tc>
          <w:tcPr>
            <w:tcW w:w="1009" w:type="dxa"/>
            <w:vAlign w:val="center"/>
          </w:tcPr>
          <w:p>
            <w:pPr>
              <w:jc w:val="center"/>
              <w:rPr>
                <w:kern w:val="0"/>
                <w:sz w:val="20"/>
              </w:rPr>
            </w:pPr>
            <w:r>
              <w:rPr>
                <w:rFonts w:hint="eastAsia"/>
                <w:kern w:val="0"/>
                <w:sz w:val="20"/>
              </w:rPr>
              <w:t>1.0～2.5</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11.0～14.0</w:t>
            </w:r>
          </w:p>
        </w:tc>
        <w:tc>
          <w:tcPr>
            <w:tcW w:w="1161" w:type="dxa"/>
            <w:vAlign w:val="center"/>
          </w:tcPr>
          <w:p>
            <w:pPr>
              <w:jc w:val="center"/>
              <w:rPr>
                <w:kern w:val="0"/>
                <w:sz w:val="20"/>
              </w:rPr>
            </w:pPr>
            <w:r>
              <w:rPr>
                <w:rFonts w:hint="eastAsia"/>
                <w:kern w:val="0"/>
                <w:sz w:val="20"/>
              </w:rPr>
              <w:t>18.0～20.0</w:t>
            </w:r>
          </w:p>
        </w:tc>
        <w:tc>
          <w:tcPr>
            <w:tcW w:w="1009" w:type="dxa"/>
            <w:vAlign w:val="center"/>
          </w:tcPr>
          <w:p>
            <w:pPr>
              <w:jc w:val="center"/>
              <w:rPr>
                <w:kern w:val="0"/>
                <w:sz w:val="20"/>
              </w:rPr>
            </w:pPr>
            <w:r>
              <w:rPr>
                <w:rFonts w:hint="eastAsia"/>
                <w:kern w:val="0"/>
                <w:sz w:val="20"/>
              </w:rPr>
              <w:t>2.0～3.0</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347</w:t>
            </w:r>
          </w:p>
        </w:tc>
        <w:tc>
          <w:tcPr>
            <w:tcW w:w="1009" w:type="dxa"/>
            <w:vAlign w:val="center"/>
          </w:tcPr>
          <w:p>
            <w:pPr>
              <w:jc w:val="center"/>
              <w:rPr>
                <w:kern w:val="0"/>
                <w:sz w:val="20"/>
              </w:rPr>
            </w:pPr>
            <w:r>
              <w:rPr>
                <w:rFonts w:hint="eastAsia"/>
                <w:kern w:val="0"/>
                <w:sz w:val="20"/>
              </w:rPr>
              <w:t>0.08</w:t>
            </w:r>
          </w:p>
        </w:tc>
        <w:tc>
          <w:tcPr>
            <w:tcW w:w="1009" w:type="dxa"/>
            <w:vAlign w:val="center"/>
          </w:tcPr>
          <w:p>
            <w:pPr>
              <w:jc w:val="center"/>
              <w:rPr>
                <w:kern w:val="0"/>
                <w:sz w:val="20"/>
              </w:rPr>
            </w:pPr>
            <w:r>
              <w:rPr>
                <w:rFonts w:hint="eastAsia"/>
                <w:kern w:val="0"/>
                <w:sz w:val="20"/>
              </w:rPr>
              <w:t>1.0～2.5</w:t>
            </w:r>
          </w:p>
        </w:tc>
        <w:tc>
          <w:tcPr>
            <w:tcW w:w="1161" w:type="dxa"/>
            <w:vAlign w:val="center"/>
          </w:tcPr>
          <w:p>
            <w:pPr>
              <w:jc w:val="center"/>
              <w:rPr>
                <w:kern w:val="0"/>
                <w:sz w:val="20"/>
              </w:rPr>
            </w:pPr>
            <w:r>
              <w:rPr>
                <w:rFonts w:hint="eastAsia"/>
                <w:kern w:val="0"/>
                <w:sz w:val="20"/>
              </w:rPr>
              <w:t>0.30～0.65</w:t>
            </w:r>
          </w:p>
        </w:tc>
        <w:tc>
          <w:tcPr>
            <w:tcW w:w="858" w:type="dxa"/>
            <w:vAlign w:val="center"/>
          </w:tcPr>
          <w:p>
            <w:pPr>
              <w:jc w:val="center"/>
              <w:rPr>
                <w:kern w:val="0"/>
                <w:sz w:val="20"/>
              </w:rPr>
            </w:pPr>
            <w:r>
              <w:rPr>
                <w:rFonts w:hint="eastAsia"/>
                <w:kern w:val="0"/>
                <w:sz w:val="20"/>
              </w:rPr>
              <w:t>0.04</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9.0～11.0</w:t>
            </w:r>
          </w:p>
        </w:tc>
        <w:tc>
          <w:tcPr>
            <w:tcW w:w="1161" w:type="dxa"/>
            <w:vAlign w:val="center"/>
          </w:tcPr>
          <w:p>
            <w:pPr>
              <w:jc w:val="center"/>
              <w:rPr>
                <w:kern w:val="0"/>
                <w:sz w:val="20"/>
              </w:rPr>
            </w:pPr>
            <w:r>
              <w:rPr>
                <w:rFonts w:hint="eastAsia"/>
                <w:kern w:val="0"/>
                <w:sz w:val="20"/>
              </w:rPr>
              <w:t>19.0～21.5</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10×C～1.0</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409</w:t>
            </w:r>
          </w:p>
        </w:tc>
        <w:tc>
          <w:tcPr>
            <w:tcW w:w="1009" w:type="dxa"/>
            <w:vAlign w:val="center"/>
          </w:tcPr>
          <w:p>
            <w:pPr>
              <w:jc w:val="center"/>
              <w:rPr>
                <w:kern w:val="0"/>
                <w:sz w:val="20"/>
              </w:rPr>
            </w:pPr>
            <w:r>
              <w:rPr>
                <w:rFonts w:hint="eastAsia"/>
                <w:kern w:val="0"/>
                <w:sz w:val="20"/>
              </w:rPr>
              <w:t>0.08</w:t>
            </w:r>
          </w:p>
        </w:tc>
        <w:tc>
          <w:tcPr>
            <w:tcW w:w="1009" w:type="dxa"/>
            <w:vAlign w:val="center"/>
          </w:tcPr>
          <w:p>
            <w:pPr>
              <w:jc w:val="center"/>
              <w:rPr>
                <w:kern w:val="0"/>
                <w:sz w:val="20"/>
              </w:rPr>
            </w:pPr>
            <w:r>
              <w:rPr>
                <w:rFonts w:hint="eastAsia"/>
                <w:kern w:val="0"/>
                <w:sz w:val="20"/>
              </w:rPr>
              <w:t>0.80</w:t>
            </w:r>
          </w:p>
        </w:tc>
        <w:tc>
          <w:tcPr>
            <w:tcW w:w="1161" w:type="dxa"/>
            <w:vAlign w:val="center"/>
          </w:tcPr>
          <w:p>
            <w:pPr>
              <w:jc w:val="center"/>
              <w:rPr>
                <w:kern w:val="0"/>
                <w:sz w:val="20"/>
              </w:rPr>
            </w:pPr>
            <w:r>
              <w:rPr>
                <w:rFonts w:hint="eastAsia"/>
                <w:kern w:val="0"/>
                <w:sz w:val="20"/>
              </w:rPr>
              <w:t>0.8</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10.5～13.5</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tcPr>
          <w:p>
            <w:pPr>
              <w:jc w:val="center"/>
              <w:rPr>
                <w:kern w:val="0"/>
                <w:sz w:val="20"/>
              </w:rPr>
            </w:pPr>
            <w:r>
              <w:rPr>
                <w:rFonts w:hint="eastAsia"/>
                <w:kern w:val="0"/>
                <w:sz w:val="20"/>
              </w:rPr>
              <w:t>Ti：10×C～1.5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409Nb</w:t>
            </w:r>
          </w:p>
        </w:tc>
        <w:tc>
          <w:tcPr>
            <w:tcW w:w="1009" w:type="dxa"/>
            <w:vAlign w:val="center"/>
          </w:tcPr>
          <w:p>
            <w:pPr>
              <w:jc w:val="center"/>
              <w:rPr>
                <w:kern w:val="0"/>
                <w:sz w:val="20"/>
              </w:rPr>
            </w:pPr>
            <w:r>
              <w:rPr>
                <w:rFonts w:hint="eastAsia"/>
                <w:kern w:val="0"/>
                <w:sz w:val="20"/>
              </w:rPr>
              <w:t>0.12</w:t>
            </w:r>
          </w:p>
        </w:tc>
        <w:tc>
          <w:tcPr>
            <w:tcW w:w="1009" w:type="dxa"/>
            <w:vAlign w:val="center"/>
          </w:tcPr>
          <w:p>
            <w:pPr>
              <w:jc w:val="center"/>
              <w:rPr>
                <w:kern w:val="0"/>
                <w:sz w:val="20"/>
              </w:rPr>
            </w:pPr>
            <w:r>
              <w:rPr>
                <w:rFonts w:hint="eastAsia"/>
                <w:kern w:val="0"/>
                <w:sz w:val="20"/>
              </w:rPr>
              <w:t>1.2</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0.04</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10.5～13.5</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8×C～1.5</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410</w:t>
            </w:r>
          </w:p>
        </w:tc>
        <w:tc>
          <w:tcPr>
            <w:tcW w:w="1009" w:type="dxa"/>
            <w:vAlign w:val="center"/>
          </w:tcPr>
          <w:p>
            <w:pPr>
              <w:jc w:val="center"/>
              <w:rPr>
                <w:kern w:val="0"/>
                <w:sz w:val="20"/>
              </w:rPr>
            </w:pPr>
            <w:r>
              <w:rPr>
                <w:rFonts w:hint="eastAsia"/>
                <w:kern w:val="0"/>
                <w:sz w:val="20"/>
              </w:rPr>
              <w:t>0.12</w:t>
            </w:r>
          </w:p>
        </w:tc>
        <w:tc>
          <w:tcPr>
            <w:tcW w:w="1009"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0.5</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11.5～13.5</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410NiMo</w:t>
            </w:r>
          </w:p>
        </w:tc>
        <w:tc>
          <w:tcPr>
            <w:tcW w:w="1009" w:type="dxa"/>
            <w:vAlign w:val="center"/>
          </w:tcPr>
          <w:p>
            <w:pPr>
              <w:jc w:val="center"/>
              <w:rPr>
                <w:kern w:val="0"/>
                <w:sz w:val="20"/>
              </w:rPr>
            </w:pPr>
            <w:r>
              <w:rPr>
                <w:rFonts w:hint="eastAsia"/>
                <w:kern w:val="0"/>
                <w:sz w:val="20"/>
              </w:rPr>
              <w:t>0.06</w:t>
            </w:r>
          </w:p>
        </w:tc>
        <w:tc>
          <w:tcPr>
            <w:tcW w:w="1009" w:type="dxa"/>
            <w:vAlign w:val="center"/>
          </w:tcPr>
          <w:p>
            <w:pPr>
              <w:jc w:val="center"/>
              <w:rPr>
                <w:kern w:val="0"/>
                <w:sz w:val="20"/>
              </w:rPr>
            </w:pPr>
            <w:r>
              <w:rPr>
                <w:rFonts w:hint="eastAsia"/>
                <w:kern w:val="0"/>
                <w:sz w:val="20"/>
              </w:rPr>
              <w:t>1.0</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4.0～5.0</w:t>
            </w:r>
          </w:p>
        </w:tc>
        <w:tc>
          <w:tcPr>
            <w:tcW w:w="1161" w:type="dxa"/>
            <w:vAlign w:val="center"/>
          </w:tcPr>
          <w:p>
            <w:pPr>
              <w:jc w:val="center"/>
              <w:rPr>
                <w:kern w:val="0"/>
                <w:sz w:val="20"/>
              </w:rPr>
            </w:pPr>
            <w:r>
              <w:rPr>
                <w:rFonts w:hint="eastAsia"/>
                <w:kern w:val="0"/>
                <w:sz w:val="20"/>
              </w:rPr>
              <w:t>11.0～12.5</w:t>
            </w:r>
          </w:p>
        </w:tc>
        <w:tc>
          <w:tcPr>
            <w:tcW w:w="1009" w:type="dxa"/>
            <w:vAlign w:val="center"/>
          </w:tcPr>
          <w:p>
            <w:pPr>
              <w:jc w:val="center"/>
              <w:rPr>
                <w:kern w:val="0"/>
                <w:sz w:val="20"/>
              </w:rPr>
            </w:pPr>
            <w:r>
              <w:rPr>
                <w:rFonts w:hint="eastAsia"/>
                <w:kern w:val="0"/>
                <w:sz w:val="20"/>
              </w:rPr>
              <w:t>0.4～0.7</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430</w:t>
            </w:r>
          </w:p>
        </w:tc>
        <w:tc>
          <w:tcPr>
            <w:tcW w:w="1009" w:type="dxa"/>
            <w:vAlign w:val="center"/>
          </w:tcPr>
          <w:p>
            <w:pPr>
              <w:jc w:val="center"/>
              <w:rPr>
                <w:kern w:val="0"/>
                <w:sz w:val="20"/>
              </w:rPr>
            </w:pPr>
            <w:r>
              <w:rPr>
                <w:rFonts w:hint="eastAsia"/>
                <w:kern w:val="0"/>
                <w:sz w:val="20"/>
              </w:rPr>
              <w:t>0.10</w:t>
            </w:r>
          </w:p>
        </w:tc>
        <w:tc>
          <w:tcPr>
            <w:tcW w:w="1009"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0.5</w:t>
            </w:r>
          </w:p>
        </w:tc>
        <w:tc>
          <w:tcPr>
            <w:tcW w:w="858" w:type="dxa"/>
            <w:vAlign w:val="center"/>
          </w:tcPr>
          <w:p>
            <w:pPr>
              <w:jc w:val="center"/>
              <w:rPr>
                <w:kern w:val="0"/>
                <w:sz w:val="20"/>
              </w:rPr>
            </w:pPr>
            <w:r>
              <w:rPr>
                <w:rFonts w:hint="eastAsia"/>
                <w:kern w:val="0"/>
                <w:sz w:val="20"/>
              </w:rPr>
              <w:t>0.03</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15.5～18.0</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430Nb</w:t>
            </w:r>
          </w:p>
        </w:tc>
        <w:tc>
          <w:tcPr>
            <w:tcW w:w="1009" w:type="dxa"/>
            <w:vAlign w:val="center"/>
          </w:tcPr>
          <w:p>
            <w:pPr>
              <w:jc w:val="center"/>
              <w:rPr>
                <w:kern w:val="0"/>
                <w:sz w:val="20"/>
              </w:rPr>
            </w:pPr>
            <w:r>
              <w:rPr>
                <w:rFonts w:hint="eastAsia"/>
                <w:kern w:val="0"/>
                <w:sz w:val="20"/>
              </w:rPr>
              <w:t>0.10</w:t>
            </w:r>
          </w:p>
        </w:tc>
        <w:tc>
          <w:tcPr>
            <w:tcW w:w="1009" w:type="dxa"/>
            <w:vAlign w:val="center"/>
          </w:tcPr>
          <w:p>
            <w:pPr>
              <w:jc w:val="center"/>
              <w:rPr>
                <w:kern w:val="0"/>
                <w:sz w:val="20"/>
              </w:rPr>
            </w:pPr>
            <w:r>
              <w:rPr>
                <w:rFonts w:hint="eastAsia"/>
                <w:kern w:val="0"/>
                <w:sz w:val="20"/>
              </w:rPr>
              <w:t>1.2</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0.04</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15.0～18.0</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0.5～1.5</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430LNb</w:t>
            </w:r>
          </w:p>
        </w:tc>
        <w:tc>
          <w:tcPr>
            <w:tcW w:w="1009" w:type="dxa"/>
            <w:vAlign w:val="center"/>
          </w:tcPr>
          <w:p>
            <w:pPr>
              <w:jc w:val="center"/>
              <w:rPr>
                <w:kern w:val="0"/>
                <w:sz w:val="20"/>
              </w:rPr>
            </w:pPr>
            <w:r>
              <w:rPr>
                <w:rFonts w:hint="eastAsia"/>
                <w:kern w:val="0"/>
                <w:sz w:val="20"/>
              </w:rPr>
              <w:t>0.04</w:t>
            </w:r>
          </w:p>
        </w:tc>
        <w:tc>
          <w:tcPr>
            <w:tcW w:w="1009" w:type="dxa"/>
            <w:vAlign w:val="center"/>
          </w:tcPr>
          <w:p>
            <w:pPr>
              <w:jc w:val="center"/>
              <w:rPr>
                <w:kern w:val="0"/>
                <w:sz w:val="20"/>
              </w:rPr>
            </w:pPr>
            <w:r>
              <w:rPr>
                <w:rFonts w:hint="eastAsia"/>
                <w:kern w:val="0"/>
                <w:sz w:val="20"/>
              </w:rPr>
              <w:t>1.2</w:t>
            </w:r>
          </w:p>
        </w:tc>
        <w:tc>
          <w:tcPr>
            <w:tcW w:w="1161" w:type="dxa"/>
            <w:vAlign w:val="center"/>
          </w:tcPr>
          <w:p>
            <w:pPr>
              <w:jc w:val="center"/>
              <w:rPr>
                <w:kern w:val="0"/>
                <w:sz w:val="20"/>
              </w:rPr>
            </w:pPr>
            <w:r>
              <w:rPr>
                <w:rFonts w:hint="eastAsia"/>
                <w:kern w:val="0"/>
                <w:sz w:val="20"/>
              </w:rPr>
              <w:t>1.0</w:t>
            </w:r>
          </w:p>
        </w:tc>
        <w:tc>
          <w:tcPr>
            <w:tcW w:w="858" w:type="dxa"/>
            <w:vAlign w:val="center"/>
          </w:tcPr>
          <w:p>
            <w:pPr>
              <w:jc w:val="center"/>
              <w:rPr>
                <w:kern w:val="0"/>
                <w:sz w:val="20"/>
              </w:rPr>
            </w:pPr>
            <w:r>
              <w:rPr>
                <w:rFonts w:hint="eastAsia"/>
                <w:kern w:val="0"/>
                <w:sz w:val="20"/>
              </w:rPr>
              <w:t>0.04</w:t>
            </w:r>
          </w:p>
        </w:tc>
        <w:tc>
          <w:tcPr>
            <w:tcW w:w="858" w:type="dxa"/>
            <w:vAlign w:val="center"/>
          </w:tcPr>
          <w:p>
            <w:pPr>
              <w:jc w:val="center"/>
              <w:rPr>
                <w:kern w:val="0"/>
                <w:sz w:val="20"/>
              </w:rPr>
            </w:pPr>
            <w:r>
              <w:rPr>
                <w:rFonts w:hint="eastAsia"/>
                <w:kern w:val="0"/>
                <w:sz w:val="20"/>
              </w:rPr>
              <w:t>0.03</w:t>
            </w:r>
          </w:p>
        </w:tc>
        <w:tc>
          <w:tcPr>
            <w:tcW w:w="1161" w:type="dxa"/>
            <w:vAlign w:val="center"/>
          </w:tcPr>
          <w:p>
            <w:pPr>
              <w:jc w:val="center"/>
              <w:rPr>
                <w:kern w:val="0"/>
                <w:sz w:val="20"/>
              </w:rPr>
            </w:pPr>
            <w:r>
              <w:rPr>
                <w:rFonts w:hint="eastAsia"/>
                <w:kern w:val="0"/>
                <w:sz w:val="20"/>
              </w:rPr>
              <w:t>0.6</w:t>
            </w:r>
          </w:p>
        </w:tc>
        <w:tc>
          <w:tcPr>
            <w:tcW w:w="1161" w:type="dxa"/>
            <w:vAlign w:val="center"/>
          </w:tcPr>
          <w:p>
            <w:pPr>
              <w:jc w:val="center"/>
              <w:rPr>
                <w:kern w:val="0"/>
                <w:sz w:val="20"/>
              </w:rPr>
            </w:pPr>
            <w:r>
              <w:rPr>
                <w:rFonts w:hint="eastAsia"/>
                <w:kern w:val="0"/>
                <w:sz w:val="20"/>
              </w:rPr>
              <w:t>15.0～18.0</w:t>
            </w:r>
          </w:p>
        </w:tc>
        <w:tc>
          <w:tcPr>
            <w:tcW w:w="1009" w:type="dxa"/>
            <w:vAlign w:val="center"/>
          </w:tcPr>
          <w:p>
            <w:pPr>
              <w:jc w:val="center"/>
              <w:rPr>
                <w:kern w:val="0"/>
                <w:sz w:val="20"/>
              </w:rPr>
            </w:pPr>
            <w:r>
              <w:rPr>
                <w:rFonts w:hint="eastAsia"/>
                <w:kern w:val="0"/>
                <w:sz w:val="20"/>
              </w:rPr>
              <w:t>0.75</w:t>
            </w:r>
          </w:p>
        </w:tc>
        <w:tc>
          <w:tcPr>
            <w:tcW w:w="612" w:type="dxa"/>
            <w:vAlign w:val="center"/>
          </w:tcPr>
          <w:p>
            <w:pPr>
              <w:jc w:val="center"/>
              <w:rPr>
                <w:kern w:val="0"/>
                <w:sz w:val="20"/>
              </w:rPr>
            </w:pPr>
            <w:r>
              <w:rPr>
                <w:rFonts w:hint="eastAsia"/>
                <w:kern w:val="0"/>
                <w:sz w:val="20"/>
              </w:rPr>
              <w:t>0.75</w:t>
            </w:r>
          </w:p>
        </w:tc>
        <w:tc>
          <w:tcPr>
            <w:tcW w:w="1473" w:type="dxa"/>
            <w:vAlign w:val="center"/>
          </w:tcPr>
          <w:p>
            <w:pPr>
              <w:jc w:val="center"/>
              <w:rPr>
                <w:kern w:val="0"/>
                <w:sz w:val="20"/>
              </w:rPr>
            </w:pPr>
            <w:r>
              <w:rPr>
                <w:rFonts w:hint="eastAsia"/>
                <w:kern w:val="0"/>
                <w:sz w:val="20"/>
              </w:rPr>
              <w:t>0.5～1.5</w:t>
            </w:r>
          </w:p>
        </w:tc>
        <w:tc>
          <w:tcPr>
            <w:tcW w:w="511" w:type="dxa"/>
            <w:vAlign w:val="center"/>
          </w:tcPr>
          <w:p>
            <w:pPr>
              <w:jc w:val="center"/>
              <w:rPr>
                <w:kern w:val="0"/>
                <w:sz w:val="20"/>
              </w:rPr>
            </w:pPr>
            <w:r>
              <w:rPr>
                <w:rFonts w:hint="eastAsia"/>
                <w:kern w:val="0"/>
                <w:sz w:val="20"/>
              </w:rPr>
              <w:t>—</w:t>
            </w:r>
          </w:p>
        </w:tc>
        <w:tc>
          <w:tcPr>
            <w:tcW w:w="1621" w:type="dxa"/>
            <w:vAlign w:val="center"/>
          </w:tcPr>
          <w:p>
            <w:pPr>
              <w:jc w:val="cente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rPr>
                <w:kern w:val="0"/>
                <w:sz w:val="20"/>
              </w:rPr>
            </w:pPr>
            <w:r>
              <w:rPr>
                <w:rFonts w:hint="eastAsia"/>
                <w:kern w:val="0"/>
                <w:sz w:val="20"/>
              </w:rPr>
              <w:t>GXa</w:t>
            </w:r>
          </w:p>
        </w:tc>
        <w:tc>
          <w:tcPr>
            <w:tcW w:w="12443" w:type="dxa"/>
            <w:gridSpan w:val="12"/>
            <w:vAlign w:val="center"/>
          </w:tcPr>
          <w:p>
            <w:pPr>
              <w:rPr>
                <w:kern w:val="0"/>
                <w:sz w:val="20"/>
              </w:rPr>
            </w:pPr>
            <w:r>
              <w:rPr>
                <w:rFonts w:hint="eastAsia"/>
                <w:kern w:val="0"/>
                <w:sz w:val="20"/>
              </w:rPr>
              <w:t>其他协定成分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948" w:type="dxa"/>
            <w:gridSpan w:val="13"/>
            <w:vAlign w:val="center"/>
          </w:tcPr>
          <w:p>
            <w:pPr>
              <w:rPr>
                <w:kern w:val="0"/>
                <w:sz w:val="20"/>
              </w:rPr>
            </w:pPr>
            <w:r>
              <w:rPr>
                <w:rFonts w:hint="eastAsia"/>
                <w:kern w:val="0"/>
                <w:sz w:val="20"/>
              </w:rPr>
              <w:t>注：表中单值均为最大值。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48" w:type="dxa"/>
            <w:gridSpan w:val="13"/>
            <w:vAlign w:val="center"/>
          </w:tcPr>
          <w:p>
            <w:pPr>
              <w:rPr>
                <w:kern w:val="0"/>
                <w:sz w:val="20"/>
              </w:rPr>
            </w:pPr>
            <w:r>
              <w:rPr>
                <w:rFonts w:hint="eastAsia"/>
                <w:kern w:val="0"/>
                <w:sz w:val="20"/>
              </w:rPr>
              <w:t>a 表中未列出的分类可用相类似的分类表示，词头加字母“G”。化学成分范围不进行规定，两种分类之间不可替换。</w:t>
            </w:r>
          </w:p>
        </w:tc>
      </w:tr>
    </w:tbl>
    <w:p>
      <w:pPr>
        <w:jc w:val="center"/>
        <w:rPr>
          <w:rFonts w:asciiTheme="minorEastAsia" w:hAnsiTheme="minorEastAsia" w:eastAsiaTheme="minorEastAsia"/>
        </w:rPr>
      </w:pPr>
    </w:p>
    <w:p>
      <w:pPr>
        <w:pStyle w:val="87"/>
        <w:jc w:val="center"/>
        <w:rPr>
          <w:sz w:val="21"/>
          <w:szCs w:val="21"/>
        </w:rPr>
      </w:pPr>
      <w:bookmarkStart w:id="38" w:name="_Toc131325356"/>
      <w:r>
        <w:rPr>
          <w:rFonts w:hint="eastAsia"/>
          <w:sz w:val="21"/>
          <w:szCs w:val="21"/>
        </w:rPr>
        <w:t xml:space="preserve">表 </w:t>
      </w:r>
      <w:r>
        <w:rPr>
          <w:sz w:val="21"/>
          <w:szCs w:val="21"/>
        </w:rPr>
        <w:t>B</w:t>
      </w:r>
      <w:r>
        <w:rPr>
          <w:rFonts w:hint="eastAsia"/>
          <w:sz w:val="21"/>
          <w:szCs w:val="21"/>
        </w:rPr>
        <w:t>.</w:t>
      </w:r>
      <w:r>
        <w:rPr>
          <w:sz w:val="21"/>
          <w:szCs w:val="21"/>
        </w:rPr>
        <w:t xml:space="preserve">3 </w:t>
      </w:r>
      <w:r>
        <w:rPr>
          <w:rFonts w:hint="eastAsia"/>
          <w:sz w:val="21"/>
          <w:szCs w:val="21"/>
        </w:rPr>
        <w:t>奥氏体不锈钢药芯焊丝钨极惰性气体保护焊用药芯填充丝熔敷金属化学成分</w:t>
      </w:r>
      <w:bookmarkEnd w:id="38"/>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684"/>
        <w:gridCol w:w="684"/>
        <w:gridCol w:w="684"/>
        <w:gridCol w:w="582"/>
        <w:gridCol w:w="582"/>
        <w:gridCol w:w="787"/>
        <w:gridCol w:w="787"/>
        <w:gridCol w:w="684"/>
        <w:gridCol w:w="607"/>
        <w:gridCol w:w="874"/>
        <w:gridCol w:w="68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Merge w:val="restart"/>
            <w:vAlign w:val="center"/>
          </w:tcPr>
          <w:p>
            <w:pPr>
              <w:rPr>
                <w:kern w:val="0"/>
                <w:sz w:val="20"/>
              </w:rPr>
            </w:pPr>
            <w:r>
              <w:rPr>
                <w:rFonts w:hint="eastAsia"/>
                <w:kern w:val="0"/>
                <w:sz w:val="20"/>
              </w:rPr>
              <w:t>化学成分分类</w:t>
            </w:r>
          </w:p>
        </w:tc>
        <w:tc>
          <w:tcPr>
            <w:tcW w:w="7711" w:type="dxa"/>
            <w:gridSpan w:val="12"/>
            <w:vAlign w:val="center"/>
          </w:tcPr>
          <w:p>
            <w:pPr>
              <w:jc w:val="center"/>
              <w:rPr>
                <w:kern w:val="0"/>
                <w:sz w:val="20"/>
              </w:rPr>
            </w:pPr>
            <w:r>
              <w:rPr>
                <w:rFonts w:hint="eastAsia"/>
                <w:kern w:val="0"/>
                <w:sz w:val="20"/>
              </w:rPr>
              <w:t>化学成分（质量分数，wt%）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17" w:type="dxa"/>
            <w:vMerge w:val="continue"/>
            <w:vAlign w:val="center"/>
          </w:tcPr>
          <w:p>
            <w:pPr>
              <w:rPr>
                <w:kern w:val="0"/>
                <w:sz w:val="20"/>
              </w:rPr>
            </w:pPr>
          </w:p>
        </w:tc>
        <w:tc>
          <w:tcPr>
            <w:tcW w:w="666" w:type="dxa"/>
            <w:vAlign w:val="center"/>
          </w:tcPr>
          <w:p>
            <w:pPr>
              <w:rPr>
                <w:kern w:val="0"/>
                <w:sz w:val="20"/>
              </w:rPr>
            </w:pPr>
            <w:r>
              <w:rPr>
                <w:rFonts w:hint="eastAsia"/>
                <w:kern w:val="0"/>
                <w:sz w:val="20"/>
              </w:rPr>
              <w:t>C</w:t>
            </w:r>
          </w:p>
        </w:tc>
        <w:tc>
          <w:tcPr>
            <w:tcW w:w="648" w:type="dxa"/>
            <w:vAlign w:val="center"/>
          </w:tcPr>
          <w:p>
            <w:pPr>
              <w:rPr>
                <w:kern w:val="0"/>
                <w:sz w:val="20"/>
              </w:rPr>
            </w:pPr>
            <w:r>
              <w:rPr>
                <w:rFonts w:hint="eastAsia"/>
                <w:kern w:val="0"/>
                <w:sz w:val="20"/>
              </w:rPr>
              <w:t>Mn</w:t>
            </w:r>
          </w:p>
        </w:tc>
        <w:tc>
          <w:tcPr>
            <w:tcW w:w="666" w:type="dxa"/>
            <w:vAlign w:val="center"/>
          </w:tcPr>
          <w:p>
            <w:pPr>
              <w:rPr>
                <w:kern w:val="0"/>
                <w:sz w:val="20"/>
              </w:rPr>
            </w:pPr>
            <w:r>
              <w:rPr>
                <w:rFonts w:hint="eastAsia"/>
                <w:kern w:val="0"/>
                <w:sz w:val="20"/>
              </w:rPr>
              <w:t>Si</w:t>
            </w:r>
          </w:p>
        </w:tc>
        <w:tc>
          <w:tcPr>
            <w:tcW w:w="554" w:type="dxa"/>
            <w:vAlign w:val="center"/>
          </w:tcPr>
          <w:p>
            <w:pPr>
              <w:rPr>
                <w:kern w:val="0"/>
                <w:sz w:val="20"/>
              </w:rPr>
            </w:pPr>
            <w:r>
              <w:rPr>
                <w:rFonts w:hint="eastAsia"/>
                <w:kern w:val="0"/>
                <w:sz w:val="20"/>
              </w:rPr>
              <w:t>P</w:t>
            </w:r>
          </w:p>
        </w:tc>
        <w:tc>
          <w:tcPr>
            <w:tcW w:w="554" w:type="dxa"/>
            <w:vAlign w:val="center"/>
          </w:tcPr>
          <w:p>
            <w:pPr>
              <w:rPr>
                <w:kern w:val="0"/>
                <w:sz w:val="20"/>
              </w:rPr>
            </w:pPr>
            <w:r>
              <w:rPr>
                <w:rFonts w:hint="eastAsia"/>
                <w:kern w:val="0"/>
                <w:sz w:val="20"/>
              </w:rPr>
              <w:t>S</w:t>
            </w:r>
          </w:p>
        </w:tc>
        <w:tc>
          <w:tcPr>
            <w:tcW w:w="666" w:type="dxa"/>
            <w:vAlign w:val="center"/>
          </w:tcPr>
          <w:p>
            <w:pPr>
              <w:rPr>
                <w:kern w:val="0"/>
                <w:sz w:val="20"/>
              </w:rPr>
            </w:pPr>
            <w:r>
              <w:rPr>
                <w:rFonts w:hint="eastAsia"/>
                <w:kern w:val="0"/>
                <w:sz w:val="20"/>
              </w:rPr>
              <w:t>Ni</w:t>
            </w:r>
          </w:p>
        </w:tc>
        <w:tc>
          <w:tcPr>
            <w:tcW w:w="666" w:type="dxa"/>
            <w:vAlign w:val="center"/>
          </w:tcPr>
          <w:p>
            <w:pPr>
              <w:rPr>
                <w:kern w:val="0"/>
                <w:sz w:val="20"/>
              </w:rPr>
            </w:pPr>
            <w:r>
              <w:rPr>
                <w:rFonts w:hint="eastAsia"/>
                <w:kern w:val="0"/>
                <w:sz w:val="20"/>
              </w:rPr>
              <w:t>Cr</w:t>
            </w:r>
          </w:p>
        </w:tc>
        <w:tc>
          <w:tcPr>
            <w:tcW w:w="666" w:type="dxa"/>
            <w:vAlign w:val="center"/>
          </w:tcPr>
          <w:p>
            <w:pPr>
              <w:rPr>
                <w:kern w:val="0"/>
                <w:sz w:val="20"/>
              </w:rPr>
            </w:pPr>
            <w:r>
              <w:rPr>
                <w:rFonts w:hint="eastAsia"/>
                <w:kern w:val="0"/>
                <w:sz w:val="20"/>
              </w:rPr>
              <w:t>Mo</w:t>
            </w:r>
          </w:p>
        </w:tc>
        <w:tc>
          <w:tcPr>
            <w:tcW w:w="591" w:type="dxa"/>
            <w:vAlign w:val="center"/>
          </w:tcPr>
          <w:p>
            <w:pPr>
              <w:rPr>
                <w:kern w:val="0"/>
                <w:sz w:val="20"/>
              </w:rPr>
            </w:pPr>
            <w:r>
              <w:rPr>
                <w:rFonts w:hint="eastAsia"/>
                <w:kern w:val="0"/>
                <w:sz w:val="20"/>
              </w:rPr>
              <w:t>Cu</w:t>
            </w:r>
          </w:p>
        </w:tc>
        <w:tc>
          <w:tcPr>
            <w:tcW w:w="627" w:type="dxa"/>
            <w:vAlign w:val="center"/>
          </w:tcPr>
          <w:p>
            <w:pPr>
              <w:rPr>
                <w:kern w:val="0"/>
                <w:sz w:val="20"/>
              </w:rPr>
            </w:pPr>
            <w:r>
              <w:rPr>
                <w:rFonts w:hint="eastAsia"/>
                <w:kern w:val="0"/>
                <w:sz w:val="20"/>
              </w:rPr>
              <w:t>Nb+Ta</w:t>
            </w:r>
          </w:p>
        </w:tc>
        <w:tc>
          <w:tcPr>
            <w:tcW w:w="666" w:type="dxa"/>
            <w:vAlign w:val="center"/>
          </w:tcPr>
          <w:p>
            <w:pPr>
              <w:rPr>
                <w:kern w:val="0"/>
                <w:sz w:val="20"/>
              </w:rPr>
            </w:pPr>
            <w:r>
              <w:rPr>
                <w:rFonts w:hint="eastAsia"/>
                <w:kern w:val="0"/>
                <w:sz w:val="20"/>
              </w:rPr>
              <w:t>N</w:t>
            </w:r>
          </w:p>
        </w:tc>
        <w:tc>
          <w:tcPr>
            <w:tcW w:w="741" w:type="dxa"/>
          </w:tcPr>
          <w:p>
            <w:pPr>
              <w:rPr>
                <w:kern w:val="0"/>
                <w:sz w:val="20"/>
              </w:rPr>
            </w:pPr>
            <w:r>
              <w:rPr>
                <w:rFonts w:hint="eastAsia"/>
                <w:kern w:val="0"/>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rPr>
                <w:kern w:val="0"/>
                <w:sz w:val="20"/>
              </w:rPr>
            </w:pPr>
            <w:r>
              <w:rPr>
                <w:rFonts w:hint="eastAsia"/>
                <w:kern w:val="0"/>
                <w:sz w:val="20"/>
              </w:rPr>
              <w:t>308L</w:t>
            </w:r>
          </w:p>
        </w:tc>
        <w:tc>
          <w:tcPr>
            <w:tcW w:w="666" w:type="dxa"/>
            <w:vAlign w:val="center"/>
          </w:tcPr>
          <w:p>
            <w:pPr>
              <w:rPr>
                <w:kern w:val="0"/>
                <w:sz w:val="20"/>
              </w:rPr>
            </w:pPr>
            <w:r>
              <w:rPr>
                <w:rFonts w:hint="eastAsia"/>
                <w:kern w:val="0"/>
                <w:sz w:val="20"/>
              </w:rPr>
              <w:t>0.03</w:t>
            </w:r>
          </w:p>
        </w:tc>
        <w:tc>
          <w:tcPr>
            <w:tcW w:w="648" w:type="dxa"/>
            <w:vAlign w:val="center"/>
          </w:tcPr>
          <w:p>
            <w:pPr>
              <w:rPr>
                <w:kern w:val="0"/>
                <w:sz w:val="20"/>
              </w:rPr>
            </w:pPr>
            <w:r>
              <w:rPr>
                <w:rFonts w:hint="eastAsia"/>
                <w:kern w:val="0"/>
                <w:sz w:val="20"/>
              </w:rPr>
              <w:t>0.5～2.5</w:t>
            </w:r>
          </w:p>
        </w:tc>
        <w:tc>
          <w:tcPr>
            <w:tcW w:w="666" w:type="dxa"/>
            <w:vAlign w:val="center"/>
          </w:tcPr>
          <w:p>
            <w:pPr>
              <w:rPr>
                <w:kern w:val="0"/>
                <w:sz w:val="20"/>
              </w:rPr>
            </w:pPr>
            <w:r>
              <w:rPr>
                <w:rFonts w:hint="eastAsia"/>
                <w:kern w:val="0"/>
                <w:sz w:val="20"/>
              </w:rPr>
              <w:t>1.2</w:t>
            </w:r>
          </w:p>
        </w:tc>
        <w:tc>
          <w:tcPr>
            <w:tcW w:w="554" w:type="dxa"/>
            <w:vAlign w:val="center"/>
          </w:tcPr>
          <w:p>
            <w:pPr>
              <w:rPr>
                <w:kern w:val="0"/>
                <w:sz w:val="20"/>
              </w:rPr>
            </w:pPr>
            <w:r>
              <w:rPr>
                <w:rFonts w:hint="eastAsia"/>
                <w:kern w:val="0"/>
                <w:sz w:val="20"/>
              </w:rPr>
              <w:t>0.04</w:t>
            </w:r>
          </w:p>
        </w:tc>
        <w:tc>
          <w:tcPr>
            <w:tcW w:w="554" w:type="dxa"/>
            <w:vAlign w:val="center"/>
          </w:tcPr>
          <w:p>
            <w:pPr>
              <w:rPr>
                <w:kern w:val="0"/>
                <w:sz w:val="20"/>
              </w:rPr>
            </w:pPr>
            <w:r>
              <w:rPr>
                <w:rFonts w:hint="eastAsia"/>
                <w:kern w:val="0"/>
                <w:sz w:val="20"/>
              </w:rPr>
              <w:t>0.03</w:t>
            </w:r>
          </w:p>
        </w:tc>
        <w:tc>
          <w:tcPr>
            <w:tcW w:w="666" w:type="dxa"/>
            <w:vAlign w:val="center"/>
          </w:tcPr>
          <w:p>
            <w:pPr>
              <w:rPr>
                <w:kern w:val="0"/>
                <w:sz w:val="20"/>
              </w:rPr>
            </w:pPr>
            <w:r>
              <w:rPr>
                <w:rFonts w:hint="eastAsia"/>
                <w:kern w:val="0"/>
                <w:sz w:val="20"/>
              </w:rPr>
              <w:t>9.0～11.0</w:t>
            </w:r>
          </w:p>
        </w:tc>
        <w:tc>
          <w:tcPr>
            <w:tcW w:w="666" w:type="dxa"/>
            <w:vAlign w:val="center"/>
          </w:tcPr>
          <w:p>
            <w:pPr>
              <w:rPr>
                <w:kern w:val="0"/>
                <w:sz w:val="20"/>
              </w:rPr>
            </w:pPr>
            <w:r>
              <w:rPr>
                <w:rFonts w:hint="eastAsia"/>
                <w:kern w:val="0"/>
                <w:sz w:val="20"/>
              </w:rPr>
              <w:t>18.0～21.0</w:t>
            </w:r>
          </w:p>
        </w:tc>
        <w:tc>
          <w:tcPr>
            <w:tcW w:w="666" w:type="dxa"/>
            <w:vAlign w:val="center"/>
          </w:tcPr>
          <w:p>
            <w:pPr>
              <w:rPr>
                <w:kern w:val="0"/>
                <w:sz w:val="20"/>
              </w:rPr>
            </w:pPr>
            <w:r>
              <w:rPr>
                <w:rFonts w:hint="eastAsia"/>
                <w:kern w:val="0"/>
                <w:sz w:val="20"/>
              </w:rPr>
              <w:t>0.5</w:t>
            </w:r>
          </w:p>
        </w:tc>
        <w:tc>
          <w:tcPr>
            <w:tcW w:w="591" w:type="dxa"/>
            <w:vAlign w:val="center"/>
          </w:tcPr>
          <w:p>
            <w:pPr>
              <w:rPr>
                <w:kern w:val="0"/>
                <w:sz w:val="20"/>
              </w:rPr>
            </w:pPr>
            <w:r>
              <w:rPr>
                <w:rFonts w:hint="eastAsia"/>
                <w:kern w:val="0"/>
                <w:sz w:val="20"/>
              </w:rPr>
              <w:t>0.5</w:t>
            </w:r>
          </w:p>
        </w:tc>
        <w:tc>
          <w:tcPr>
            <w:tcW w:w="627" w:type="dxa"/>
            <w:vAlign w:val="center"/>
          </w:tcPr>
          <w:p>
            <w:pPr>
              <w:rPr>
                <w:kern w:val="0"/>
                <w:sz w:val="20"/>
              </w:rPr>
            </w:pPr>
            <w:r>
              <w:rPr>
                <w:rFonts w:hint="eastAsia"/>
                <w:kern w:val="0"/>
                <w:sz w:val="20"/>
              </w:rPr>
              <w:t>—</w:t>
            </w:r>
          </w:p>
        </w:tc>
        <w:tc>
          <w:tcPr>
            <w:tcW w:w="666" w:type="dxa"/>
            <w:vAlign w:val="center"/>
          </w:tcPr>
          <w:p>
            <w:pPr>
              <w:rPr>
                <w:kern w:val="0"/>
                <w:sz w:val="20"/>
              </w:rPr>
            </w:pPr>
            <w:r>
              <w:rPr>
                <w:rFonts w:hint="eastAsia"/>
                <w:kern w:val="0"/>
                <w:sz w:val="20"/>
              </w:rPr>
              <w:t>—</w:t>
            </w:r>
          </w:p>
        </w:tc>
        <w:tc>
          <w:tcPr>
            <w:tcW w:w="741" w:type="dxa"/>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17" w:type="dxa"/>
            <w:vAlign w:val="center"/>
          </w:tcPr>
          <w:p>
            <w:pPr>
              <w:rPr>
                <w:kern w:val="0"/>
                <w:sz w:val="20"/>
              </w:rPr>
            </w:pPr>
            <w:r>
              <w:rPr>
                <w:rFonts w:hint="eastAsia"/>
                <w:kern w:val="0"/>
                <w:sz w:val="20"/>
              </w:rPr>
              <w:t>309L</w:t>
            </w:r>
          </w:p>
        </w:tc>
        <w:tc>
          <w:tcPr>
            <w:tcW w:w="666" w:type="dxa"/>
            <w:vAlign w:val="center"/>
          </w:tcPr>
          <w:p>
            <w:pPr>
              <w:rPr>
                <w:kern w:val="0"/>
                <w:sz w:val="20"/>
              </w:rPr>
            </w:pPr>
            <w:r>
              <w:rPr>
                <w:rFonts w:hint="eastAsia"/>
                <w:kern w:val="0"/>
                <w:sz w:val="20"/>
              </w:rPr>
              <w:t>0.03</w:t>
            </w:r>
          </w:p>
        </w:tc>
        <w:tc>
          <w:tcPr>
            <w:tcW w:w="648" w:type="dxa"/>
            <w:vAlign w:val="center"/>
          </w:tcPr>
          <w:p>
            <w:pPr>
              <w:rPr>
                <w:kern w:val="0"/>
                <w:sz w:val="20"/>
              </w:rPr>
            </w:pPr>
            <w:r>
              <w:rPr>
                <w:rFonts w:hint="eastAsia"/>
                <w:kern w:val="0"/>
                <w:sz w:val="20"/>
              </w:rPr>
              <w:t>0.5～2.5</w:t>
            </w:r>
          </w:p>
        </w:tc>
        <w:tc>
          <w:tcPr>
            <w:tcW w:w="666" w:type="dxa"/>
            <w:vAlign w:val="center"/>
          </w:tcPr>
          <w:p>
            <w:pPr>
              <w:rPr>
                <w:kern w:val="0"/>
                <w:sz w:val="20"/>
              </w:rPr>
            </w:pPr>
            <w:r>
              <w:rPr>
                <w:rFonts w:hint="eastAsia"/>
                <w:kern w:val="0"/>
                <w:sz w:val="20"/>
              </w:rPr>
              <w:t>1.2</w:t>
            </w:r>
          </w:p>
        </w:tc>
        <w:tc>
          <w:tcPr>
            <w:tcW w:w="554" w:type="dxa"/>
            <w:vAlign w:val="center"/>
          </w:tcPr>
          <w:p>
            <w:pPr>
              <w:rPr>
                <w:kern w:val="0"/>
                <w:sz w:val="20"/>
              </w:rPr>
            </w:pPr>
            <w:r>
              <w:rPr>
                <w:rFonts w:hint="eastAsia"/>
                <w:kern w:val="0"/>
                <w:sz w:val="20"/>
              </w:rPr>
              <w:t>0.04</w:t>
            </w:r>
          </w:p>
        </w:tc>
        <w:tc>
          <w:tcPr>
            <w:tcW w:w="554" w:type="dxa"/>
            <w:vAlign w:val="center"/>
          </w:tcPr>
          <w:p>
            <w:pPr>
              <w:rPr>
                <w:kern w:val="0"/>
                <w:sz w:val="20"/>
              </w:rPr>
            </w:pPr>
            <w:r>
              <w:rPr>
                <w:rFonts w:hint="eastAsia"/>
                <w:kern w:val="0"/>
                <w:sz w:val="20"/>
              </w:rPr>
              <w:t>0.03</w:t>
            </w:r>
          </w:p>
        </w:tc>
        <w:tc>
          <w:tcPr>
            <w:tcW w:w="666" w:type="dxa"/>
            <w:vAlign w:val="center"/>
          </w:tcPr>
          <w:p>
            <w:pPr>
              <w:rPr>
                <w:kern w:val="0"/>
                <w:sz w:val="20"/>
              </w:rPr>
            </w:pPr>
            <w:r>
              <w:rPr>
                <w:rFonts w:hint="eastAsia"/>
                <w:kern w:val="0"/>
                <w:sz w:val="20"/>
              </w:rPr>
              <w:t>12.0～14.0</w:t>
            </w:r>
          </w:p>
        </w:tc>
        <w:tc>
          <w:tcPr>
            <w:tcW w:w="666" w:type="dxa"/>
            <w:vAlign w:val="center"/>
          </w:tcPr>
          <w:p>
            <w:pPr>
              <w:rPr>
                <w:kern w:val="0"/>
                <w:sz w:val="20"/>
              </w:rPr>
            </w:pPr>
            <w:r>
              <w:rPr>
                <w:rFonts w:hint="eastAsia"/>
                <w:kern w:val="0"/>
                <w:sz w:val="20"/>
              </w:rPr>
              <w:t>22.0～25.0</w:t>
            </w:r>
          </w:p>
        </w:tc>
        <w:tc>
          <w:tcPr>
            <w:tcW w:w="666" w:type="dxa"/>
            <w:vAlign w:val="center"/>
          </w:tcPr>
          <w:p>
            <w:pPr>
              <w:rPr>
                <w:kern w:val="0"/>
                <w:sz w:val="20"/>
              </w:rPr>
            </w:pPr>
            <w:r>
              <w:rPr>
                <w:rFonts w:hint="eastAsia"/>
                <w:kern w:val="0"/>
                <w:sz w:val="20"/>
              </w:rPr>
              <w:t>0.5</w:t>
            </w:r>
          </w:p>
        </w:tc>
        <w:tc>
          <w:tcPr>
            <w:tcW w:w="591" w:type="dxa"/>
            <w:vAlign w:val="center"/>
          </w:tcPr>
          <w:p>
            <w:pPr>
              <w:rPr>
                <w:kern w:val="0"/>
                <w:sz w:val="20"/>
              </w:rPr>
            </w:pPr>
            <w:r>
              <w:rPr>
                <w:rFonts w:hint="eastAsia"/>
                <w:kern w:val="0"/>
                <w:sz w:val="20"/>
              </w:rPr>
              <w:t>0.5</w:t>
            </w:r>
          </w:p>
        </w:tc>
        <w:tc>
          <w:tcPr>
            <w:tcW w:w="627" w:type="dxa"/>
            <w:vAlign w:val="center"/>
          </w:tcPr>
          <w:p>
            <w:pPr>
              <w:rPr>
                <w:kern w:val="0"/>
                <w:sz w:val="20"/>
              </w:rPr>
            </w:pPr>
            <w:r>
              <w:rPr>
                <w:rFonts w:hint="eastAsia"/>
                <w:kern w:val="0"/>
                <w:sz w:val="20"/>
              </w:rPr>
              <w:t>—</w:t>
            </w:r>
          </w:p>
        </w:tc>
        <w:tc>
          <w:tcPr>
            <w:tcW w:w="666" w:type="dxa"/>
            <w:vAlign w:val="center"/>
          </w:tcPr>
          <w:p>
            <w:pPr>
              <w:rPr>
                <w:kern w:val="0"/>
                <w:sz w:val="20"/>
              </w:rPr>
            </w:pPr>
            <w:r>
              <w:rPr>
                <w:rFonts w:hint="eastAsia"/>
                <w:kern w:val="0"/>
                <w:sz w:val="20"/>
              </w:rPr>
              <w:t>—</w:t>
            </w:r>
          </w:p>
        </w:tc>
        <w:tc>
          <w:tcPr>
            <w:tcW w:w="741" w:type="dxa"/>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17" w:type="dxa"/>
            <w:vAlign w:val="center"/>
          </w:tcPr>
          <w:p>
            <w:pPr>
              <w:rPr>
                <w:kern w:val="0"/>
                <w:sz w:val="20"/>
              </w:rPr>
            </w:pPr>
            <w:r>
              <w:rPr>
                <w:rFonts w:hint="eastAsia"/>
                <w:kern w:val="0"/>
                <w:sz w:val="20"/>
              </w:rPr>
              <w:t xml:space="preserve">316L </w:t>
            </w:r>
          </w:p>
        </w:tc>
        <w:tc>
          <w:tcPr>
            <w:tcW w:w="666" w:type="dxa"/>
            <w:vAlign w:val="center"/>
          </w:tcPr>
          <w:p>
            <w:pPr>
              <w:rPr>
                <w:kern w:val="0"/>
                <w:sz w:val="20"/>
              </w:rPr>
            </w:pPr>
            <w:r>
              <w:rPr>
                <w:rFonts w:hint="eastAsia"/>
                <w:kern w:val="0"/>
                <w:sz w:val="20"/>
              </w:rPr>
              <w:t>0.03</w:t>
            </w:r>
          </w:p>
        </w:tc>
        <w:tc>
          <w:tcPr>
            <w:tcW w:w="648" w:type="dxa"/>
            <w:vAlign w:val="center"/>
          </w:tcPr>
          <w:p>
            <w:pPr>
              <w:rPr>
                <w:kern w:val="0"/>
                <w:sz w:val="20"/>
              </w:rPr>
            </w:pPr>
            <w:r>
              <w:rPr>
                <w:rFonts w:hint="eastAsia"/>
                <w:kern w:val="0"/>
                <w:sz w:val="20"/>
              </w:rPr>
              <w:t>0.5～2.5</w:t>
            </w:r>
          </w:p>
        </w:tc>
        <w:tc>
          <w:tcPr>
            <w:tcW w:w="666" w:type="dxa"/>
            <w:vAlign w:val="center"/>
          </w:tcPr>
          <w:p>
            <w:pPr>
              <w:rPr>
                <w:kern w:val="0"/>
                <w:sz w:val="20"/>
              </w:rPr>
            </w:pPr>
            <w:r>
              <w:rPr>
                <w:rFonts w:hint="eastAsia"/>
                <w:kern w:val="0"/>
                <w:sz w:val="20"/>
              </w:rPr>
              <w:t>1.2</w:t>
            </w:r>
          </w:p>
        </w:tc>
        <w:tc>
          <w:tcPr>
            <w:tcW w:w="554" w:type="dxa"/>
            <w:vAlign w:val="center"/>
          </w:tcPr>
          <w:p>
            <w:pPr>
              <w:rPr>
                <w:kern w:val="0"/>
                <w:sz w:val="20"/>
              </w:rPr>
            </w:pPr>
            <w:r>
              <w:rPr>
                <w:rFonts w:hint="eastAsia"/>
                <w:kern w:val="0"/>
                <w:sz w:val="20"/>
              </w:rPr>
              <w:t>0.04</w:t>
            </w:r>
          </w:p>
        </w:tc>
        <w:tc>
          <w:tcPr>
            <w:tcW w:w="554" w:type="dxa"/>
            <w:vAlign w:val="center"/>
          </w:tcPr>
          <w:p>
            <w:pPr>
              <w:rPr>
                <w:kern w:val="0"/>
                <w:sz w:val="20"/>
              </w:rPr>
            </w:pPr>
            <w:r>
              <w:rPr>
                <w:rFonts w:hint="eastAsia"/>
                <w:kern w:val="0"/>
                <w:sz w:val="20"/>
              </w:rPr>
              <w:t>0.03</w:t>
            </w:r>
          </w:p>
        </w:tc>
        <w:tc>
          <w:tcPr>
            <w:tcW w:w="666" w:type="dxa"/>
            <w:vAlign w:val="center"/>
          </w:tcPr>
          <w:p>
            <w:pPr>
              <w:rPr>
                <w:kern w:val="0"/>
                <w:sz w:val="20"/>
              </w:rPr>
            </w:pPr>
            <w:r>
              <w:rPr>
                <w:rFonts w:hint="eastAsia"/>
                <w:kern w:val="0"/>
                <w:sz w:val="20"/>
              </w:rPr>
              <w:t>11.0～14.0</w:t>
            </w:r>
          </w:p>
        </w:tc>
        <w:tc>
          <w:tcPr>
            <w:tcW w:w="666" w:type="dxa"/>
            <w:vAlign w:val="center"/>
          </w:tcPr>
          <w:p>
            <w:pPr>
              <w:rPr>
                <w:kern w:val="0"/>
                <w:sz w:val="20"/>
              </w:rPr>
            </w:pPr>
            <w:r>
              <w:rPr>
                <w:rFonts w:hint="eastAsia"/>
                <w:kern w:val="0"/>
                <w:sz w:val="20"/>
              </w:rPr>
              <w:t>17.0～20.0</w:t>
            </w:r>
          </w:p>
        </w:tc>
        <w:tc>
          <w:tcPr>
            <w:tcW w:w="666" w:type="dxa"/>
            <w:vAlign w:val="center"/>
          </w:tcPr>
          <w:p>
            <w:pPr>
              <w:rPr>
                <w:kern w:val="0"/>
                <w:sz w:val="20"/>
              </w:rPr>
            </w:pPr>
            <w:r>
              <w:rPr>
                <w:rFonts w:hint="eastAsia"/>
                <w:kern w:val="0"/>
                <w:sz w:val="20"/>
              </w:rPr>
              <w:t>2.0～3.0</w:t>
            </w:r>
          </w:p>
        </w:tc>
        <w:tc>
          <w:tcPr>
            <w:tcW w:w="591" w:type="dxa"/>
            <w:vAlign w:val="center"/>
          </w:tcPr>
          <w:p>
            <w:pPr>
              <w:rPr>
                <w:kern w:val="0"/>
                <w:sz w:val="20"/>
              </w:rPr>
            </w:pPr>
            <w:r>
              <w:rPr>
                <w:rFonts w:hint="eastAsia"/>
                <w:kern w:val="0"/>
                <w:sz w:val="20"/>
              </w:rPr>
              <w:t>0.5</w:t>
            </w:r>
          </w:p>
        </w:tc>
        <w:tc>
          <w:tcPr>
            <w:tcW w:w="627" w:type="dxa"/>
            <w:vAlign w:val="center"/>
          </w:tcPr>
          <w:p>
            <w:pPr>
              <w:rPr>
                <w:kern w:val="0"/>
                <w:sz w:val="20"/>
              </w:rPr>
            </w:pPr>
            <w:r>
              <w:rPr>
                <w:rFonts w:hint="eastAsia"/>
                <w:kern w:val="0"/>
                <w:sz w:val="20"/>
              </w:rPr>
              <w:t>—</w:t>
            </w:r>
          </w:p>
        </w:tc>
        <w:tc>
          <w:tcPr>
            <w:tcW w:w="666" w:type="dxa"/>
            <w:vAlign w:val="center"/>
          </w:tcPr>
          <w:p>
            <w:pPr>
              <w:rPr>
                <w:kern w:val="0"/>
                <w:sz w:val="20"/>
              </w:rPr>
            </w:pPr>
            <w:r>
              <w:rPr>
                <w:rFonts w:hint="eastAsia"/>
                <w:kern w:val="0"/>
                <w:sz w:val="20"/>
              </w:rPr>
              <w:t>—</w:t>
            </w:r>
          </w:p>
        </w:tc>
        <w:tc>
          <w:tcPr>
            <w:tcW w:w="741" w:type="dxa"/>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rPr>
                <w:kern w:val="0"/>
                <w:sz w:val="20"/>
              </w:rPr>
            </w:pPr>
            <w:r>
              <w:rPr>
                <w:rFonts w:hint="eastAsia"/>
                <w:kern w:val="0"/>
                <w:sz w:val="20"/>
              </w:rPr>
              <w:t>347</w:t>
            </w:r>
          </w:p>
        </w:tc>
        <w:tc>
          <w:tcPr>
            <w:tcW w:w="666" w:type="dxa"/>
            <w:vAlign w:val="center"/>
          </w:tcPr>
          <w:p>
            <w:pPr>
              <w:rPr>
                <w:kern w:val="0"/>
                <w:sz w:val="20"/>
              </w:rPr>
            </w:pPr>
            <w:r>
              <w:rPr>
                <w:rFonts w:hint="eastAsia"/>
                <w:kern w:val="0"/>
                <w:sz w:val="20"/>
              </w:rPr>
              <w:t>0.08</w:t>
            </w:r>
          </w:p>
        </w:tc>
        <w:tc>
          <w:tcPr>
            <w:tcW w:w="648" w:type="dxa"/>
            <w:vAlign w:val="center"/>
          </w:tcPr>
          <w:p>
            <w:pPr>
              <w:rPr>
                <w:kern w:val="0"/>
                <w:sz w:val="20"/>
              </w:rPr>
            </w:pPr>
            <w:r>
              <w:rPr>
                <w:rFonts w:hint="eastAsia"/>
                <w:kern w:val="0"/>
                <w:sz w:val="20"/>
              </w:rPr>
              <w:t>0.5～2.5</w:t>
            </w:r>
          </w:p>
        </w:tc>
        <w:tc>
          <w:tcPr>
            <w:tcW w:w="666" w:type="dxa"/>
            <w:vAlign w:val="center"/>
          </w:tcPr>
          <w:p>
            <w:pPr>
              <w:rPr>
                <w:kern w:val="0"/>
                <w:sz w:val="20"/>
              </w:rPr>
            </w:pPr>
            <w:r>
              <w:rPr>
                <w:rFonts w:hint="eastAsia"/>
                <w:kern w:val="0"/>
                <w:sz w:val="20"/>
              </w:rPr>
              <w:t>1.2</w:t>
            </w:r>
          </w:p>
        </w:tc>
        <w:tc>
          <w:tcPr>
            <w:tcW w:w="554" w:type="dxa"/>
            <w:vAlign w:val="center"/>
          </w:tcPr>
          <w:p>
            <w:pPr>
              <w:rPr>
                <w:kern w:val="0"/>
                <w:sz w:val="20"/>
              </w:rPr>
            </w:pPr>
            <w:r>
              <w:rPr>
                <w:rFonts w:hint="eastAsia"/>
                <w:kern w:val="0"/>
                <w:sz w:val="20"/>
              </w:rPr>
              <w:t>0.04</w:t>
            </w:r>
          </w:p>
        </w:tc>
        <w:tc>
          <w:tcPr>
            <w:tcW w:w="554" w:type="dxa"/>
            <w:vAlign w:val="center"/>
          </w:tcPr>
          <w:p>
            <w:pPr>
              <w:rPr>
                <w:kern w:val="0"/>
                <w:sz w:val="20"/>
              </w:rPr>
            </w:pPr>
            <w:r>
              <w:rPr>
                <w:rFonts w:hint="eastAsia"/>
                <w:kern w:val="0"/>
                <w:sz w:val="20"/>
              </w:rPr>
              <w:t>0.03</w:t>
            </w:r>
          </w:p>
        </w:tc>
        <w:tc>
          <w:tcPr>
            <w:tcW w:w="666" w:type="dxa"/>
            <w:vAlign w:val="center"/>
          </w:tcPr>
          <w:p>
            <w:pPr>
              <w:rPr>
                <w:kern w:val="0"/>
                <w:sz w:val="20"/>
              </w:rPr>
            </w:pPr>
            <w:r>
              <w:rPr>
                <w:rFonts w:hint="eastAsia"/>
                <w:kern w:val="0"/>
                <w:sz w:val="20"/>
              </w:rPr>
              <w:t>9.0～11.0</w:t>
            </w:r>
          </w:p>
        </w:tc>
        <w:tc>
          <w:tcPr>
            <w:tcW w:w="666" w:type="dxa"/>
            <w:vAlign w:val="center"/>
          </w:tcPr>
          <w:p>
            <w:pPr>
              <w:rPr>
                <w:kern w:val="0"/>
                <w:sz w:val="20"/>
              </w:rPr>
            </w:pPr>
            <w:r>
              <w:rPr>
                <w:rFonts w:hint="eastAsia"/>
                <w:kern w:val="0"/>
                <w:sz w:val="20"/>
              </w:rPr>
              <w:t>18.0～21.0</w:t>
            </w:r>
          </w:p>
        </w:tc>
        <w:tc>
          <w:tcPr>
            <w:tcW w:w="666" w:type="dxa"/>
            <w:vAlign w:val="center"/>
          </w:tcPr>
          <w:p>
            <w:pPr>
              <w:rPr>
                <w:kern w:val="0"/>
                <w:sz w:val="20"/>
              </w:rPr>
            </w:pPr>
            <w:r>
              <w:rPr>
                <w:rFonts w:hint="eastAsia"/>
                <w:kern w:val="0"/>
                <w:sz w:val="20"/>
              </w:rPr>
              <w:t>0.5</w:t>
            </w:r>
          </w:p>
        </w:tc>
        <w:tc>
          <w:tcPr>
            <w:tcW w:w="591" w:type="dxa"/>
            <w:vAlign w:val="center"/>
          </w:tcPr>
          <w:p>
            <w:pPr>
              <w:rPr>
                <w:kern w:val="0"/>
                <w:sz w:val="20"/>
              </w:rPr>
            </w:pPr>
            <w:r>
              <w:rPr>
                <w:rFonts w:hint="eastAsia"/>
                <w:kern w:val="0"/>
                <w:sz w:val="20"/>
              </w:rPr>
              <w:t>0.5</w:t>
            </w:r>
          </w:p>
        </w:tc>
        <w:tc>
          <w:tcPr>
            <w:tcW w:w="627" w:type="dxa"/>
            <w:vAlign w:val="center"/>
          </w:tcPr>
          <w:p>
            <w:pPr>
              <w:rPr>
                <w:kern w:val="0"/>
                <w:sz w:val="20"/>
              </w:rPr>
            </w:pPr>
            <w:r>
              <w:rPr>
                <w:rFonts w:hint="eastAsia"/>
                <w:kern w:val="0"/>
                <w:sz w:val="20"/>
              </w:rPr>
              <w:t>8×C～1.0</w:t>
            </w:r>
          </w:p>
        </w:tc>
        <w:tc>
          <w:tcPr>
            <w:tcW w:w="666" w:type="dxa"/>
            <w:vAlign w:val="center"/>
          </w:tcPr>
          <w:p>
            <w:pPr>
              <w:rPr>
                <w:kern w:val="0"/>
                <w:sz w:val="20"/>
              </w:rPr>
            </w:pPr>
            <w:r>
              <w:rPr>
                <w:rFonts w:hint="eastAsia"/>
                <w:kern w:val="0"/>
                <w:sz w:val="20"/>
              </w:rPr>
              <w:t>—</w:t>
            </w:r>
          </w:p>
        </w:tc>
        <w:tc>
          <w:tcPr>
            <w:tcW w:w="741" w:type="dxa"/>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rPr>
                <w:kern w:val="0"/>
                <w:sz w:val="20"/>
              </w:rPr>
            </w:pPr>
            <w:r>
              <w:rPr>
                <w:rFonts w:hint="eastAsia"/>
                <w:kern w:val="0"/>
                <w:sz w:val="20"/>
              </w:rPr>
              <w:t>GXa</w:t>
            </w:r>
          </w:p>
        </w:tc>
        <w:tc>
          <w:tcPr>
            <w:tcW w:w="7711" w:type="dxa"/>
            <w:gridSpan w:val="12"/>
            <w:vAlign w:val="center"/>
          </w:tcPr>
          <w:p>
            <w:pPr>
              <w:rPr>
                <w:kern w:val="0"/>
                <w:sz w:val="20"/>
              </w:rPr>
            </w:pPr>
            <w:r>
              <w:rPr>
                <w:rFonts w:hint="eastAsia"/>
                <w:kern w:val="0"/>
                <w:sz w:val="20"/>
              </w:rPr>
              <w:t>其他协定成分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528" w:type="dxa"/>
            <w:gridSpan w:val="13"/>
            <w:vAlign w:val="center"/>
          </w:tcPr>
          <w:p>
            <w:pPr>
              <w:rPr>
                <w:kern w:val="0"/>
                <w:sz w:val="20"/>
              </w:rPr>
            </w:pPr>
            <w:r>
              <w:rPr>
                <w:rFonts w:hint="eastAsia"/>
                <w:kern w:val="0"/>
                <w:sz w:val="20"/>
              </w:rPr>
              <w:t>注：表中单值均为最大值。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8" w:type="dxa"/>
            <w:gridSpan w:val="13"/>
            <w:vAlign w:val="center"/>
          </w:tcPr>
          <w:p>
            <w:pPr>
              <w:rPr>
                <w:kern w:val="0"/>
                <w:sz w:val="20"/>
              </w:rPr>
            </w:pPr>
            <w:r>
              <w:rPr>
                <w:rFonts w:hint="eastAsia"/>
                <w:kern w:val="0"/>
                <w:sz w:val="20"/>
              </w:rPr>
              <w:t>a 表中未列出的分类可用相类似的分类表示，词头加字母“G”。化学成分范围不进行规定，两种分类之间不可替换。</w:t>
            </w:r>
          </w:p>
        </w:tc>
      </w:tr>
    </w:tbl>
    <w:p>
      <w:pPr>
        <w:pStyle w:val="87"/>
        <w:rPr>
          <w:sz w:val="21"/>
          <w:szCs w:val="21"/>
        </w:rPr>
      </w:pPr>
    </w:p>
    <w:p>
      <w:pPr>
        <w:jc w:val="center"/>
        <w:rPr>
          <w:rFonts w:asciiTheme="minorEastAsia" w:hAnsiTheme="minorEastAsia" w:eastAsiaTheme="minorEastAsia"/>
        </w:rPr>
      </w:pPr>
    </w:p>
    <w:p>
      <w:pPr>
        <w:pStyle w:val="87"/>
        <w:jc w:val="center"/>
        <w:rPr>
          <w:sz w:val="21"/>
          <w:szCs w:val="21"/>
        </w:rPr>
      </w:pPr>
      <w:bookmarkStart w:id="39" w:name="_Toc131325357"/>
      <w:r>
        <w:rPr>
          <w:rFonts w:hint="eastAsia"/>
          <w:sz w:val="21"/>
          <w:szCs w:val="21"/>
        </w:rPr>
        <w:t xml:space="preserve">表 </w:t>
      </w:r>
      <w:r>
        <w:rPr>
          <w:sz w:val="21"/>
          <w:szCs w:val="21"/>
        </w:rPr>
        <w:t>B</w:t>
      </w:r>
      <w:r>
        <w:rPr>
          <w:rFonts w:hint="eastAsia"/>
          <w:sz w:val="21"/>
          <w:szCs w:val="21"/>
        </w:rPr>
        <w:t>.</w:t>
      </w:r>
      <w:r>
        <w:rPr>
          <w:sz w:val="21"/>
          <w:szCs w:val="21"/>
        </w:rPr>
        <w:t xml:space="preserve">4 </w:t>
      </w:r>
      <w:r>
        <w:rPr>
          <w:rFonts w:hint="eastAsia"/>
          <w:sz w:val="21"/>
          <w:szCs w:val="21"/>
        </w:rPr>
        <w:t>奥氏体不锈钢药芯焊丝熔敷金属力学性能</w:t>
      </w:r>
      <w:bookmarkEnd w:id="39"/>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1872"/>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化学成分分类</w:t>
            </w:r>
          </w:p>
        </w:tc>
        <w:tc>
          <w:tcPr>
            <w:tcW w:w="2126" w:type="dxa"/>
            <w:vAlign w:val="center"/>
          </w:tcPr>
          <w:p>
            <w:pPr>
              <w:rPr>
                <w:kern w:val="0"/>
                <w:sz w:val="20"/>
              </w:rPr>
            </w:pPr>
            <w:r>
              <w:rPr>
                <w:rFonts w:hint="eastAsia"/>
                <w:kern w:val="0"/>
                <w:sz w:val="20"/>
              </w:rPr>
              <w:t>抗拉强度Rm</w:t>
            </w:r>
            <w:r>
              <w:rPr>
                <w:kern w:val="0"/>
                <w:sz w:val="20"/>
              </w:rPr>
              <w:t>/</w:t>
            </w:r>
            <w:r>
              <w:rPr>
                <w:rFonts w:hint="eastAsia"/>
                <w:kern w:val="0"/>
                <w:sz w:val="20"/>
              </w:rPr>
              <w:t>MPa</w:t>
            </w:r>
          </w:p>
        </w:tc>
        <w:tc>
          <w:tcPr>
            <w:tcW w:w="1872" w:type="dxa"/>
            <w:vAlign w:val="center"/>
          </w:tcPr>
          <w:p>
            <w:pPr>
              <w:rPr>
                <w:kern w:val="0"/>
                <w:sz w:val="20"/>
              </w:rPr>
            </w:pPr>
            <w:r>
              <w:rPr>
                <w:rFonts w:hint="eastAsia"/>
                <w:kern w:val="0"/>
                <w:sz w:val="20"/>
              </w:rPr>
              <w:t>断后伸长率A</w:t>
            </w:r>
            <w:r>
              <w:rPr>
                <w:kern w:val="0"/>
                <w:sz w:val="20"/>
              </w:rPr>
              <w:t>/</w:t>
            </w:r>
            <w:r>
              <w:rPr>
                <w:rFonts w:hint="eastAsia"/>
                <w:kern w:val="0"/>
                <w:sz w:val="20"/>
              </w:rPr>
              <w:t>%</w:t>
            </w:r>
          </w:p>
        </w:tc>
        <w:tc>
          <w:tcPr>
            <w:tcW w:w="1105" w:type="dxa"/>
            <w:vAlign w:val="center"/>
          </w:tcPr>
          <w:p>
            <w:pPr>
              <w:rPr>
                <w:kern w:val="0"/>
                <w:sz w:val="20"/>
              </w:rPr>
            </w:pPr>
            <w:r>
              <w:rPr>
                <w:rFonts w:hint="eastAsia"/>
                <w:kern w:val="0"/>
                <w:sz w:val="20"/>
              </w:rPr>
              <w:t>焊后热处理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307</w:t>
            </w:r>
          </w:p>
        </w:tc>
        <w:tc>
          <w:tcPr>
            <w:tcW w:w="2126" w:type="dxa"/>
            <w:vAlign w:val="center"/>
          </w:tcPr>
          <w:p>
            <w:pPr>
              <w:rPr>
                <w:kern w:val="0"/>
                <w:sz w:val="20"/>
              </w:rPr>
            </w:pPr>
            <w:r>
              <w:rPr>
                <w:rFonts w:hint="eastAsia"/>
                <w:kern w:val="0"/>
                <w:sz w:val="20"/>
              </w:rPr>
              <w:t>≥590</w:t>
            </w:r>
          </w:p>
        </w:tc>
        <w:tc>
          <w:tcPr>
            <w:tcW w:w="1872" w:type="dxa"/>
            <w:vAlign w:val="center"/>
          </w:tcPr>
          <w:p>
            <w:pPr>
              <w:rPr>
                <w:kern w:val="0"/>
                <w:sz w:val="20"/>
              </w:rPr>
            </w:pPr>
            <w:r>
              <w:rPr>
                <w:rFonts w:hint="eastAsia"/>
                <w:kern w:val="0"/>
                <w:sz w:val="20"/>
              </w:rPr>
              <w:t>≥25</w:t>
            </w:r>
          </w:p>
        </w:tc>
        <w:tc>
          <w:tcPr>
            <w:tcW w:w="1105" w:type="dxa"/>
            <w:vMerge w:val="restart"/>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308L</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308H</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308Mo</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308LMo</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308HMo</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309L</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309H</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309Mo</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309LMo</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309LNiMo</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309LNb</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310</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312</w:t>
            </w:r>
          </w:p>
        </w:tc>
        <w:tc>
          <w:tcPr>
            <w:tcW w:w="2126" w:type="dxa"/>
            <w:vAlign w:val="center"/>
          </w:tcPr>
          <w:p>
            <w:pPr>
              <w:rPr>
                <w:kern w:val="0"/>
                <w:sz w:val="20"/>
              </w:rPr>
            </w:pPr>
            <w:r>
              <w:rPr>
                <w:rFonts w:hint="eastAsia"/>
                <w:kern w:val="0"/>
                <w:sz w:val="20"/>
              </w:rPr>
              <w:t>≥660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316</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316L</w:t>
            </w:r>
          </w:p>
        </w:tc>
        <w:tc>
          <w:tcPr>
            <w:tcW w:w="2126" w:type="dxa"/>
            <w:vAlign w:val="center"/>
          </w:tcPr>
          <w:p>
            <w:pPr>
              <w:rPr>
                <w:kern w:val="0"/>
                <w:sz w:val="20"/>
              </w:rPr>
            </w:pPr>
            <w:r>
              <w:rPr>
                <w:rFonts w:hint="eastAsia"/>
                <w:kern w:val="0"/>
                <w:sz w:val="20"/>
              </w:rPr>
              <w:t>≥485</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316LK</w:t>
            </w:r>
          </w:p>
        </w:tc>
        <w:tc>
          <w:tcPr>
            <w:tcW w:w="2126" w:type="dxa"/>
            <w:vAlign w:val="center"/>
          </w:tcPr>
          <w:p>
            <w:pPr>
              <w:rPr>
                <w:kern w:val="0"/>
                <w:sz w:val="20"/>
              </w:rPr>
            </w:pPr>
            <w:r>
              <w:rPr>
                <w:rFonts w:hint="eastAsia"/>
                <w:kern w:val="0"/>
                <w:sz w:val="20"/>
              </w:rPr>
              <w:t>≥485</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316H</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316LCu</w:t>
            </w:r>
          </w:p>
        </w:tc>
        <w:tc>
          <w:tcPr>
            <w:tcW w:w="2126" w:type="dxa"/>
            <w:vAlign w:val="center"/>
          </w:tcPr>
          <w:p>
            <w:pPr>
              <w:rPr>
                <w:kern w:val="0"/>
                <w:sz w:val="20"/>
              </w:rPr>
            </w:pPr>
            <w:r>
              <w:rPr>
                <w:rFonts w:hint="eastAsia"/>
                <w:kern w:val="0"/>
                <w:sz w:val="20"/>
              </w:rPr>
              <w:t>≥485</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317</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≥20</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317L</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≥20</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318</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≥20</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347</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347L</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347H</w:t>
            </w:r>
          </w:p>
        </w:tc>
        <w:tc>
          <w:tcPr>
            <w:tcW w:w="2126" w:type="dxa"/>
            <w:vAlign w:val="center"/>
          </w:tcPr>
          <w:p>
            <w:pPr>
              <w:rPr>
                <w:kern w:val="0"/>
                <w:sz w:val="20"/>
              </w:rPr>
            </w:pPr>
            <w:r>
              <w:rPr>
                <w:rFonts w:hint="eastAsia"/>
                <w:kern w:val="0"/>
                <w:sz w:val="20"/>
              </w:rPr>
              <w:t>≥550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409</w:t>
            </w:r>
          </w:p>
        </w:tc>
        <w:tc>
          <w:tcPr>
            <w:tcW w:w="2126" w:type="dxa"/>
            <w:vAlign w:val="center"/>
          </w:tcPr>
          <w:p>
            <w:pPr>
              <w:rPr>
                <w:kern w:val="0"/>
                <w:sz w:val="20"/>
              </w:rPr>
            </w:pPr>
            <w:r>
              <w:rPr>
                <w:rFonts w:hint="eastAsia"/>
                <w:kern w:val="0"/>
                <w:sz w:val="20"/>
              </w:rPr>
              <w:t>≥450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409Nb</w:t>
            </w:r>
          </w:p>
        </w:tc>
        <w:tc>
          <w:tcPr>
            <w:tcW w:w="2126" w:type="dxa"/>
            <w:vAlign w:val="center"/>
          </w:tcPr>
          <w:p>
            <w:pPr>
              <w:rPr>
                <w:kern w:val="0"/>
                <w:sz w:val="20"/>
              </w:rPr>
            </w:pPr>
            <w:r>
              <w:rPr>
                <w:rFonts w:hint="eastAsia"/>
                <w:kern w:val="0"/>
                <w:sz w:val="20"/>
              </w:rPr>
              <w:t>≥450</w:t>
            </w:r>
          </w:p>
        </w:tc>
        <w:tc>
          <w:tcPr>
            <w:tcW w:w="1872" w:type="dxa"/>
            <w:vAlign w:val="center"/>
          </w:tcPr>
          <w:p>
            <w:pPr>
              <w:rPr>
                <w:kern w:val="0"/>
                <w:sz w:val="20"/>
              </w:rPr>
            </w:pPr>
            <w:r>
              <w:rPr>
                <w:rFonts w:hint="eastAsia"/>
                <w:kern w:val="0"/>
                <w:sz w:val="20"/>
              </w:rPr>
              <w:t>≥15</w:t>
            </w:r>
          </w:p>
        </w:tc>
        <w:tc>
          <w:tcPr>
            <w:tcW w:w="1105" w:type="dxa"/>
            <w:vAlign w:val="center"/>
          </w:tcPr>
          <w:p>
            <w:pPr>
              <w:rPr>
                <w:kern w:val="0"/>
                <w:sz w:val="20"/>
              </w:rPr>
            </w:pPr>
            <w:r>
              <w:rPr>
                <w:rFonts w:hint="eastAsia"/>
                <w:kern w:val="0"/>
                <w:sz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410</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≥15</w:t>
            </w:r>
          </w:p>
        </w:tc>
        <w:tc>
          <w:tcPr>
            <w:tcW w:w="1105" w:type="dxa"/>
            <w:vAlign w:val="center"/>
          </w:tcPr>
          <w:p>
            <w:pPr>
              <w:rPr>
                <w:kern w:val="0"/>
                <w:sz w:val="20"/>
              </w:rPr>
            </w:pPr>
            <w:r>
              <w:rPr>
                <w:rFonts w:hint="eastAsia"/>
                <w:kern w:val="0"/>
                <w:sz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410NiMo</w:t>
            </w:r>
          </w:p>
        </w:tc>
        <w:tc>
          <w:tcPr>
            <w:tcW w:w="2126" w:type="dxa"/>
            <w:vAlign w:val="center"/>
          </w:tcPr>
          <w:p>
            <w:pPr>
              <w:rPr>
                <w:kern w:val="0"/>
                <w:sz w:val="20"/>
              </w:rPr>
            </w:pPr>
            <w:r>
              <w:rPr>
                <w:rFonts w:hint="eastAsia"/>
                <w:kern w:val="0"/>
                <w:sz w:val="20"/>
              </w:rPr>
              <w:t>≥760</w:t>
            </w:r>
          </w:p>
        </w:tc>
        <w:tc>
          <w:tcPr>
            <w:tcW w:w="1872" w:type="dxa"/>
            <w:vAlign w:val="center"/>
          </w:tcPr>
          <w:p>
            <w:pPr>
              <w:rPr>
                <w:kern w:val="0"/>
                <w:sz w:val="20"/>
              </w:rPr>
            </w:pPr>
            <w:r>
              <w:rPr>
                <w:rFonts w:hint="eastAsia"/>
                <w:kern w:val="0"/>
                <w:sz w:val="20"/>
              </w:rPr>
              <w:t>≥10</w:t>
            </w:r>
          </w:p>
        </w:tc>
        <w:tc>
          <w:tcPr>
            <w:tcW w:w="1105" w:type="dxa"/>
            <w:vAlign w:val="center"/>
          </w:tcPr>
          <w:p>
            <w:pPr>
              <w:rPr>
                <w:kern w:val="0"/>
                <w:sz w:val="20"/>
              </w:rPr>
            </w:pPr>
            <w:r>
              <w:rPr>
                <w:rFonts w:hint="eastAsia"/>
                <w:kern w:val="0"/>
                <w:sz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410NiTi</w:t>
            </w:r>
          </w:p>
        </w:tc>
        <w:tc>
          <w:tcPr>
            <w:tcW w:w="2126" w:type="dxa"/>
            <w:vAlign w:val="center"/>
          </w:tcPr>
          <w:p>
            <w:pPr>
              <w:rPr>
                <w:kern w:val="0"/>
                <w:sz w:val="20"/>
              </w:rPr>
            </w:pPr>
            <w:r>
              <w:rPr>
                <w:rFonts w:hint="eastAsia"/>
                <w:kern w:val="0"/>
                <w:sz w:val="20"/>
              </w:rPr>
              <w:t>≥760</w:t>
            </w:r>
          </w:p>
        </w:tc>
        <w:tc>
          <w:tcPr>
            <w:tcW w:w="1872" w:type="dxa"/>
            <w:vAlign w:val="center"/>
          </w:tcPr>
          <w:p>
            <w:pPr>
              <w:rPr>
                <w:kern w:val="0"/>
                <w:sz w:val="20"/>
              </w:rPr>
            </w:pPr>
            <w:r>
              <w:rPr>
                <w:rFonts w:hint="eastAsia"/>
                <w:kern w:val="0"/>
                <w:sz w:val="20"/>
              </w:rPr>
              <w:t>≥10</w:t>
            </w:r>
          </w:p>
        </w:tc>
        <w:tc>
          <w:tcPr>
            <w:tcW w:w="1105" w:type="dxa"/>
            <w:vAlign w:val="center"/>
          </w:tcPr>
          <w:p>
            <w:pPr>
              <w:rPr>
                <w:kern w:val="0"/>
                <w:sz w:val="20"/>
              </w:rPr>
            </w:pPr>
            <w:r>
              <w:rPr>
                <w:rFonts w:hint="eastAsia"/>
                <w:kern w:val="0"/>
                <w:sz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430</w:t>
            </w:r>
          </w:p>
        </w:tc>
        <w:tc>
          <w:tcPr>
            <w:tcW w:w="2126" w:type="dxa"/>
            <w:vAlign w:val="center"/>
          </w:tcPr>
          <w:p>
            <w:pPr>
              <w:rPr>
                <w:kern w:val="0"/>
                <w:sz w:val="20"/>
              </w:rPr>
            </w:pPr>
            <w:r>
              <w:rPr>
                <w:rFonts w:hint="eastAsia"/>
                <w:kern w:val="0"/>
                <w:sz w:val="20"/>
              </w:rPr>
              <w:t>≥450</w:t>
            </w:r>
          </w:p>
        </w:tc>
        <w:tc>
          <w:tcPr>
            <w:tcW w:w="1872" w:type="dxa"/>
            <w:vAlign w:val="center"/>
          </w:tcPr>
          <w:p>
            <w:pPr>
              <w:rPr>
                <w:kern w:val="0"/>
                <w:sz w:val="20"/>
              </w:rPr>
            </w:pPr>
            <w:r>
              <w:rPr>
                <w:rFonts w:hint="eastAsia"/>
                <w:kern w:val="0"/>
                <w:sz w:val="20"/>
              </w:rPr>
              <w:t>≥15</w:t>
            </w:r>
          </w:p>
        </w:tc>
        <w:tc>
          <w:tcPr>
            <w:tcW w:w="1105" w:type="dxa"/>
            <w:vAlign w:val="center"/>
          </w:tcPr>
          <w:p>
            <w:pPr>
              <w:rPr>
                <w:kern w:val="0"/>
                <w:sz w:val="20"/>
              </w:rPr>
            </w:pPr>
            <w:r>
              <w:rPr>
                <w:rFonts w:hint="eastAsia"/>
                <w:kern w:val="0"/>
                <w:sz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430Nb</w:t>
            </w:r>
          </w:p>
        </w:tc>
        <w:tc>
          <w:tcPr>
            <w:tcW w:w="2126" w:type="dxa"/>
            <w:vAlign w:val="center"/>
          </w:tcPr>
          <w:p>
            <w:pPr>
              <w:rPr>
                <w:kern w:val="0"/>
                <w:sz w:val="20"/>
              </w:rPr>
            </w:pPr>
            <w:r>
              <w:rPr>
                <w:rFonts w:hint="eastAsia"/>
                <w:kern w:val="0"/>
                <w:sz w:val="20"/>
              </w:rPr>
              <w:t>≥450</w:t>
            </w:r>
          </w:p>
        </w:tc>
        <w:tc>
          <w:tcPr>
            <w:tcW w:w="1872" w:type="dxa"/>
            <w:vAlign w:val="center"/>
          </w:tcPr>
          <w:p>
            <w:pPr>
              <w:rPr>
                <w:kern w:val="0"/>
                <w:sz w:val="20"/>
              </w:rPr>
            </w:pPr>
            <w:r>
              <w:rPr>
                <w:rFonts w:hint="eastAsia"/>
                <w:kern w:val="0"/>
                <w:sz w:val="20"/>
              </w:rPr>
              <w:t>≥13</w:t>
            </w:r>
          </w:p>
        </w:tc>
        <w:tc>
          <w:tcPr>
            <w:tcW w:w="1105" w:type="dxa"/>
            <w:vAlign w:val="center"/>
          </w:tcPr>
          <w:p>
            <w:pPr>
              <w:rPr>
                <w:kern w:val="0"/>
                <w:sz w:val="20"/>
              </w:rPr>
            </w:pPr>
            <w:r>
              <w:rPr>
                <w:rFonts w:hint="eastAsia"/>
                <w:kern w:val="0"/>
                <w:sz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430LNb</w:t>
            </w:r>
          </w:p>
        </w:tc>
        <w:tc>
          <w:tcPr>
            <w:tcW w:w="2126" w:type="dxa"/>
            <w:vAlign w:val="center"/>
          </w:tcPr>
          <w:p>
            <w:pPr>
              <w:rPr>
                <w:kern w:val="0"/>
                <w:sz w:val="20"/>
              </w:rPr>
            </w:pPr>
            <w:r>
              <w:rPr>
                <w:rFonts w:hint="eastAsia"/>
                <w:kern w:val="0"/>
                <w:sz w:val="20"/>
              </w:rPr>
              <w:t>≥410</w:t>
            </w:r>
          </w:p>
        </w:tc>
        <w:tc>
          <w:tcPr>
            <w:tcW w:w="1872" w:type="dxa"/>
            <w:vAlign w:val="center"/>
          </w:tcPr>
          <w:p>
            <w:pPr>
              <w:rPr>
                <w:kern w:val="0"/>
                <w:sz w:val="20"/>
              </w:rPr>
            </w:pPr>
            <w:r>
              <w:rPr>
                <w:rFonts w:hint="eastAsia"/>
                <w:kern w:val="0"/>
                <w:sz w:val="20"/>
              </w:rPr>
              <w:t>≥13</w:t>
            </w:r>
          </w:p>
        </w:tc>
        <w:tc>
          <w:tcPr>
            <w:tcW w:w="1105" w:type="dxa"/>
            <w:vMerge w:val="restart"/>
            <w:vAlign w:val="center"/>
          </w:tcPr>
          <w:p>
            <w:pPr>
              <w:rPr>
                <w:kern w:val="0"/>
                <w:sz w:val="20"/>
              </w:rPr>
            </w:pP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16-8-2</w:t>
            </w:r>
          </w:p>
        </w:tc>
        <w:tc>
          <w:tcPr>
            <w:tcW w:w="2126" w:type="dxa"/>
            <w:vAlign w:val="center"/>
          </w:tcPr>
          <w:p>
            <w:pPr>
              <w:rPr>
                <w:kern w:val="0"/>
                <w:sz w:val="20"/>
              </w:rPr>
            </w:pPr>
            <w:r>
              <w:rPr>
                <w:rFonts w:hint="eastAsia"/>
                <w:kern w:val="0"/>
                <w:sz w:val="20"/>
              </w:rPr>
              <w:t>≥520</w:t>
            </w:r>
          </w:p>
        </w:tc>
        <w:tc>
          <w:tcPr>
            <w:tcW w:w="1872" w:type="dxa"/>
            <w:vAlign w:val="center"/>
          </w:tcPr>
          <w:p>
            <w:pPr>
              <w:rPr>
                <w:kern w:val="0"/>
                <w:sz w:val="20"/>
              </w:rPr>
            </w:pPr>
            <w:r>
              <w:rPr>
                <w:rFonts w:hint="eastAsia"/>
                <w:kern w:val="0"/>
                <w:sz w:val="20"/>
              </w:rPr>
              <w:t>≥25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2209</w:t>
            </w:r>
          </w:p>
        </w:tc>
        <w:tc>
          <w:tcPr>
            <w:tcW w:w="2126" w:type="dxa"/>
            <w:vAlign w:val="center"/>
          </w:tcPr>
          <w:p>
            <w:pPr>
              <w:rPr>
                <w:kern w:val="0"/>
                <w:sz w:val="20"/>
              </w:rPr>
            </w:pPr>
            <w:r>
              <w:rPr>
                <w:rFonts w:hint="eastAsia"/>
                <w:kern w:val="0"/>
                <w:sz w:val="20"/>
              </w:rPr>
              <w:t>≥690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2307</w:t>
            </w:r>
          </w:p>
        </w:tc>
        <w:tc>
          <w:tcPr>
            <w:tcW w:w="2126" w:type="dxa"/>
            <w:vAlign w:val="center"/>
          </w:tcPr>
          <w:p>
            <w:pPr>
              <w:rPr>
                <w:kern w:val="0"/>
                <w:sz w:val="20"/>
              </w:rPr>
            </w:pPr>
            <w:r>
              <w:rPr>
                <w:rFonts w:hint="eastAsia"/>
                <w:kern w:val="0"/>
                <w:sz w:val="20"/>
              </w:rPr>
              <w:t>≥690</w:t>
            </w:r>
          </w:p>
        </w:tc>
        <w:tc>
          <w:tcPr>
            <w:tcW w:w="1872" w:type="dxa"/>
            <w:vAlign w:val="center"/>
          </w:tcPr>
          <w:p>
            <w:pPr>
              <w:rPr>
                <w:kern w:val="0"/>
                <w:sz w:val="20"/>
              </w:rPr>
            </w:pPr>
            <w:r>
              <w:rPr>
                <w:rFonts w:hint="eastAsia"/>
                <w:kern w:val="0"/>
                <w:sz w:val="20"/>
              </w:rPr>
              <w:t>≥15</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2553</w:t>
            </w:r>
          </w:p>
        </w:tc>
        <w:tc>
          <w:tcPr>
            <w:tcW w:w="2126" w:type="dxa"/>
            <w:vAlign w:val="center"/>
          </w:tcPr>
          <w:p>
            <w:pPr>
              <w:rPr>
                <w:kern w:val="0"/>
                <w:sz w:val="20"/>
              </w:rPr>
            </w:pPr>
            <w:r>
              <w:rPr>
                <w:rFonts w:hint="eastAsia"/>
                <w:kern w:val="0"/>
                <w:sz w:val="20"/>
              </w:rPr>
              <w:t>≥760</w:t>
            </w:r>
          </w:p>
        </w:tc>
        <w:tc>
          <w:tcPr>
            <w:tcW w:w="1872" w:type="dxa"/>
            <w:vAlign w:val="center"/>
          </w:tcPr>
          <w:p>
            <w:pPr>
              <w:rPr>
                <w:kern w:val="0"/>
                <w:sz w:val="20"/>
              </w:rPr>
            </w:pPr>
            <w:r>
              <w:rPr>
                <w:rFonts w:hint="eastAsia"/>
                <w:kern w:val="0"/>
                <w:sz w:val="20"/>
              </w:rPr>
              <w:t>≥13</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2594</w:t>
            </w:r>
          </w:p>
        </w:tc>
        <w:tc>
          <w:tcPr>
            <w:tcW w:w="2126" w:type="dxa"/>
            <w:vAlign w:val="center"/>
          </w:tcPr>
          <w:p>
            <w:pPr>
              <w:rPr>
                <w:kern w:val="0"/>
                <w:sz w:val="20"/>
              </w:rPr>
            </w:pPr>
            <w:r>
              <w:rPr>
                <w:rFonts w:hint="eastAsia"/>
                <w:kern w:val="0"/>
                <w:sz w:val="20"/>
              </w:rPr>
              <w:t>≥760</w:t>
            </w:r>
          </w:p>
        </w:tc>
        <w:tc>
          <w:tcPr>
            <w:tcW w:w="1872" w:type="dxa"/>
            <w:vAlign w:val="center"/>
          </w:tcPr>
          <w:p>
            <w:pPr>
              <w:rPr>
                <w:kern w:val="0"/>
                <w:sz w:val="20"/>
              </w:rPr>
            </w:pPr>
            <w:r>
              <w:rPr>
                <w:rFonts w:hint="eastAsia"/>
                <w:kern w:val="0"/>
                <w:sz w:val="20"/>
              </w:rPr>
              <w:t>≥13</w:t>
            </w:r>
          </w:p>
        </w:tc>
        <w:tc>
          <w:tcPr>
            <w:tcW w:w="1105" w:type="dxa"/>
            <w:vMerge w:val="continue"/>
            <w:vAlign w:val="center"/>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rPr>
                <w:kern w:val="0"/>
                <w:sz w:val="20"/>
              </w:rPr>
            </w:pPr>
            <w:r>
              <w:rPr>
                <w:rFonts w:hint="eastAsia"/>
                <w:kern w:val="0"/>
                <w:sz w:val="20"/>
              </w:rPr>
              <w:t>GX</w:t>
            </w:r>
          </w:p>
        </w:tc>
        <w:tc>
          <w:tcPr>
            <w:tcW w:w="5103" w:type="dxa"/>
            <w:gridSpan w:val="3"/>
            <w:vAlign w:val="center"/>
          </w:tcPr>
          <w:p>
            <w:pPr>
              <w:rPr>
                <w:kern w:val="0"/>
                <w:sz w:val="20"/>
              </w:rPr>
            </w:pPr>
            <w:r>
              <w:rPr>
                <w:rFonts w:hint="eastAsia"/>
                <w:kern w:val="0"/>
                <w:sz w:val="20"/>
              </w:rPr>
              <w:t>供需双方协定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4" w:type="dxa"/>
            <w:gridSpan w:val="4"/>
            <w:vAlign w:val="center"/>
          </w:tcPr>
          <w:p>
            <w:pPr>
              <w:rPr>
                <w:kern w:val="0"/>
                <w:sz w:val="20"/>
              </w:rPr>
            </w:pPr>
            <w:r>
              <w:rPr>
                <w:rFonts w:hint="eastAsia"/>
                <w:kern w:val="0"/>
                <w:sz w:val="20"/>
              </w:rPr>
              <w:t>a 加热到730℃～760℃之间，保温1h，随炉冷到315℃，然后空冷至室温；</w:t>
            </w:r>
          </w:p>
          <w:p>
            <w:pPr>
              <w:rPr>
                <w:kern w:val="0"/>
                <w:sz w:val="20"/>
              </w:rPr>
            </w:pPr>
            <w:r>
              <w:rPr>
                <w:rFonts w:hint="eastAsia"/>
                <w:kern w:val="0"/>
                <w:sz w:val="20"/>
              </w:rPr>
              <w:t>b 加热到590℃～620℃之间，保温1h，然后空冷至室温；</w:t>
            </w:r>
          </w:p>
          <w:p>
            <w:pPr>
              <w:rPr>
                <w:kern w:val="0"/>
                <w:sz w:val="20"/>
              </w:rPr>
            </w:pPr>
            <w:r>
              <w:rPr>
                <w:rFonts w:hint="eastAsia"/>
                <w:kern w:val="0"/>
                <w:sz w:val="20"/>
              </w:rPr>
              <w:t>c 加热到760℃～790℃之间，保温2h，随炉冷到600℃，然后空冷至室温；</w:t>
            </w:r>
          </w:p>
        </w:tc>
      </w:tr>
    </w:tbl>
    <w:p>
      <w:pPr>
        <w:pStyle w:val="87"/>
      </w:pPr>
    </w:p>
    <w:p>
      <w:pPr>
        <w:pStyle w:val="87"/>
        <w:rPr>
          <w:sz w:val="21"/>
          <w:szCs w:val="21"/>
        </w:rPr>
      </w:pPr>
      <w:bookmarkStart w:id="40" w:name="_Toc131325358"/>
      <w:r>
        <w:rPr>
          <w:rFonts w:hint="eastAsia"/>
          <w:sz w:val="21"/>
          <w:szCs w:val="21"/>
        </w:rPr>
        <w:t>附录</w:t>
      </w:r>
      <w:r>
        <w:rPr>
          <w:sz w:val="21"/>
          <w:szCs w:val="21"/>
        </w:rPr>
        <w:t>C</w:t>
      </w:r>
      <w:r>
        <w:rPr>
          <w:rFonts w:hint="eastAsia"/>
          <w:sz w:val="21"/>
          <w:szCs w:val="21"/>
        </w:rPr>
        <w:t>：常用国内与国际药芯焊丝对照表</w:t>
      </w:r>
      <w:bookmarkEnd w:id="40"/>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312"/>
        <w:gridCol w:w="231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Align w:val="center"/>
          </w:tcPr>
          <w:p>
            <w:pPr>
              <w:rPr>
                <w:kern w:val="0"/>
                <w:sz w:val="20"/>
              </w:rPr>
            </w:pPr>
            <w:r>
              <w:rPr>
                <w:rFonts w:hint="eastAsia"/>
                <w:kern w:val="0"/>
                <w:sz w:val="20"/>
              </w:rPr>
              <w:t>材料类别</w:t>
            </w:r>
          </w:p>
        </w:tc>
        <w:tc>
          <w:tcPr>
            <w:tcW w:w="1251" w:type="pct"/>
            <w:vAlign w:val="center"/>
          </w:tcPr>
          <w:p>
            <w:pPr>
              <w:rPr>
                <w:kern w:val="0"/>
                <w:sz w:val="20"/>
              </w:rPr>
            </w:pPr>
            <w:r>
              <w:rPr>
                <w:rFonts w:hint="eastAsia"/>
                <w:kern w:val="0"/>
                <w:sz w:val="20"/>
              </w:rPr>
              <w:t>国标</w:t>
            </w:r>
          </w:p>
        </w:tc>
        <w:tc>
          <w:tcPr>
            <w:tcW w:w="1250" w:type="pct"/>
            <w:vAlign w:val="center"/>
          </w:tcPr>
          <w:p>
            <w:pPr>
              <w:rPr>
                <w:kern w:val="0"/>
                <w:sz w:val="20"/>
              </w:rPr>
            </w:pPr>
            <w:r>
              <w:rPr>
                <w:rFonts w:hint="eastAsia"/>
                <w:kern w:val="0"/>
                <w:sz w:val="20"/>
              </w:rPr>
              <w:t>美标</w:t>
            </w:r>
          </w:p>
        </w:tc>
        <w:tc>
          <w:tcPr>
            <w:tcW w:w="1250" w:type="pct"/>
            <w:vAlign w:val="center"/>
          </w:tcPr>
          <w:p>
            <w:pPr>
              <w:rPr>
                <w:kern w:val="0"/>
                <w:sz w:val="20"/>
              </w:rPr>
            </w:pPr>
            <w:r>
              <w:rPr>
                <w:rFonts w:hint="eastAsia"/>
                <w:kern w:val="0"/>
                <w:sz w:val="20"/>
              </w:rPr>
              <w:t>欧标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restart"/>
            <w:vAlign w:val="center"/>
          </w:tcPr>
          <w:p>
            <w:pPr>
              <w:rPr>
                <w:kern w:val="0"/>
                <w:sz w:val="20"/>
              </w:rPr>
            </w:pPr>
            <w:r>
              <w:rPr>
                <w:rFonts w:hint="eastAsia"/>
                <w:kern w:val="0"/>
                <w:sz w:val="20"/>
              </w:rPr>
              <w:t>非合金钢及细晶粒钢</w:t>
            </w:r>
          </w:p>
        </w:tc>
        <w:tc>
          <w:tcPr>
            <w:tcW w:w="1251"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T492T1-XC1A</w:t>
            </w:r>
          </w:p>
        </w:tc>
        <w:tc>
          <w:tcPr>
            <w:tcW w:w="1250" w:type="pct"/>
            <w:vAlign w:val="center"/>
          </w:tcPr>
          <w:p>
            <w:pPr>
              <w:rPr>
                <w:kern w:val="0"/>
                <w:sz w:val="20"/>
              </w:rPr>
            </w:pPr>
            <w:r>
              <w:rPr>
                <w:kern w:val="0"/>
                <w:sz w:val="20"/>
              </w:rPr>
              <w:t>AWS A5.36</w:t>
            </w:r>
          </w:p>
          <w:p>
            <w:pPr>
              <w:rPr>
                <w:kern w:val="0"/>
                <w:sz w:val="20"/>
              </w:rPr>
            </w:pPr>
            <w:r>
              <w:rPr>
                <w:kern w:val="0"/>
                <w:sz w:val="20"/>
              </w:rPr>
              <w:t>E49XT1-C1A2-CS1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T492T1-XC1A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T492T1-XM21A</w:t>
            </w:r>
          </w:p>
        </w:tc>
        <w:tc>
          <w:tcPr>
            <w:tcW w:w="1250" w:type="pct"/>
            <w:vAlign w:val="center"/>
          </w:tcPr>
          <w:p>
            <w:pPr>
              <w:rPr>
                <w:kern w:val="0"/>
                <w:sz w:val="20"/>
              </w:rPr>
            </w:pPr>
            <w:r>
              <w:rPr>
                <w:kern w:val="0"/>
                <w:sz w:val="20"/>
              </w:rPr>
              <w:t>AWS A5.36</w:t>
            </w:r>
          </w:p>
          <w:p>
            <w:pPr>
              <w:rPr>
                <w:kern w:val="0"/>
                <w:sz w:val="20"/>
              </w:rPr>
            </w:pPr>
            <w:r>
              <w:rPr>
                <w:kern w:val="0"/>
                <w:sz w:val="20"/>
              </w:rPr>
              <w:t>E49XT1-M21A2-CS1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T492T1-XM21A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T553T1-XC1A-N2</w:t>
            </w:r>
          </w:p>
        </w:tc>
        <w:tc>
          <w:tcPr>
            <w:tcW w:w="1250" w:type="pct"/>
            <w:vAlign w:val="center"/>
          </w:tcPr>
          <w:p>
            <w:pPr>
              <w:rPr>
                <w:kern w:val="0"/>
                <w:sz w:val="20"/>
              </w:rPr>
            </w:pPr>
            <w:r>
              <w:rPr>
                <w:kern w:val="0"/>
                <w:sz w:val="20"/>
              </w:rPr>
              <w:t>AWS A5.36</w:t>
            </w:r>
          </w:p>
          <w:p>
            <w:pPr>
              <w:rPr>
                <w:kern w:val="0"/>
                <w:sz w:val="20"/>
              </w:rPr>
            </w:pPr>
            <w:r>
              <w:rPr>
                <w:kern w:val="0"/>
                <w:sz w:val="20"/>
              </w:rPr>
              <w:t>E55XT1-C1A3-Ni</w:t>
            </w:r>
            <w:r>
              <w:rPr>
                <w:rFonts w:hint="eastAsia"/>
                <w:kern w:val="0"/>
                <w:sz w:val="20"/>
              </w:rPr>
              <w:t>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T553T1-XC1A-N2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T553T1-XM21A-N2</w:t>
            </w:r>
          </w:p>
        </w:tc>
        <w:tc>
          <w:tcPr>
            <w:tcW w:w="1250" w:type="pct"/>
            <w:vAlign w:val="center"/>
          </w:tcPr>
          <w:p>
            <w:pPr>
              <w:rPr>
                <w:kern w:val="0"/>
                <w:sz w:val="20"/>
              </w:rPr>
            </w:pPr>
            <w:r>
              <w:rPr>
                <w:kern w:val="0"/>
                <w:sz w:val="20"/>
              </w:rPr>
              <w:t>AWS A5.36</w:t>
            </w:r>
          </w:p>
          <w:p>
            <w:pPr>
              <w:rPr>
                <w:kern w:val="0"/>
                <w:sz w:val="20"/>
              </w:rPr>
            </w:pPr>
            <w:r>
              <w:rPr>
                <w:kern w:val="0"/>
                <w:sz w:val="20"/>
              </w:rPr>
              <w:t>E55XT1-M21A3-Ni</w:t>
            </w:r>
            <w:r>
              <w:rPr>
                <w:rFonts w:hint="eastAsia"/>
                <w:kern w:val="0"/>
                <w:sz w:val="20"/>
              </w:rPr>
              <w:t>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T553T1-XM21A-N2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restart"/>
            <w:vAlign w:val="center"/>
          </w:tcPr>
          <w:p>
            <w:pPr>
              <w:rPr>
                <w:kern w:val="0"/>
                <w:sz w:val="20"/>
              </w:rPr>
            </w:pPr>
            <w:r>
              <w:rPr>
                <w:rFonts w:hint="eastAsia"/>
                <w:kern w:val="0"/>
                <w:sz w:val="20"/>
              </w:rPr>
              <w:t>热强钢</w:t>
            </w: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T55T1-XC1-2M3</w:t>
            </w:r>
          </w:p>
        </w:tc>
        <w:tc>
          <w:tcPr>
            <w:tcW w:w="1250" w:type="pct"/>
            <w:vAlign w:val="center"/>
          </w:tcPr>
          <w:p>
            <w:pPr>
              <w:rPr>
                <w:kern w:val="0"/>
                <w:sz w:val="20"/>
              </w:rPr>
            </w:pPr>
            <w:r>
              <w:rPr>
                <w:kern w:val="0"/>
                <w:sz w:val="20"/>
              </w:rPr>
              <w:t>AWS A5.36</w:t>
            </w:r>
          </w:p>
          <w:p>
            <w:pPr>
              <w:rPr>
                <w:kern w:val="0"/>
                <w:sz w:val="20"/>
              </w:rPr>
            </w:pPr>
            <w:r>
              <w:rPr>
                <w:kern w:val="0"/>
                <w:sz w:val="20"/>
              </w:rPr>
              <w:t>E55XT1-C1PZ-A1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T55T1-XC1-2M3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T55T1-XM21-2M3</w:t>
            </w:r>
          </w:p>
        </w:tc>
        <w:tc>
          <w:tcPr>
            <w:tcW w:w="1250" w:type="pct"/>
            <w:vAlign w:val="center"/>
          </w:tcPr>
          <w:p>
            <w:pPr>
              <w:rPr>
                <w:kern w:val="0"/>
                <w:sz w:val="20"/>
              </w:rPr>
            </w:pPr>
            <w:r>
              <w:rPr>
                <w:kern w:val="0"/>
                <w:sz w:val="20"/>
              </w:rPr>
              <w:t>AWS A5.36</w:t>
            </w:r>
          </w:p>
          <w:p>
            <w:pPr>
              <w:rPr>
                <w:kern w:val="0"/>
                <w:sz w:val="20"/>
              </w:rPr>
            </w:pPr>
            <w:r>
              <w:rPr>
                <w:kern w:val="0"/>
                <w:sz w:val="20"/>
              </w:rPr>
              <w:t>E55XT1-M21PZ-A1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T55T1-XM21-2M3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T62T1-XC1-2C1M</w:t>
            </w:r>
          </w:p>
        </w:tc>
        <w:tc>
          <w:tcPr>
            <w:tcW w:w="1250" w:type="pct"/>
            <w:vAlign w:val="center"/>
          </w:tcPr>
          <w:p>
            <w:pPr>
              <w:rPr>
                <w:kern w:val="0"/>
                <w:sz w:val="20"/>
              </w:rPr>
            </w:pPr>
            <w:r>
              <w:rPr>
                <w:kern w:val="0"/>
                <w:sz w:val="20"/>
              </w:rPr>
              <w:t>AWS A5.36</w:t>
            </w:r>
          </w:p>
          <w:p>
            <w:pPr>
              <w:rPr>
                <w:kern w:val="0"/>
                <w:sz w:val="20"/>
              </w:rPr>
            </w:pPr>
            <w:r>
              <w:rPr>
                <w:kern w:val="0"/>
                <w:sz w:val="20"/>
              </w:rPr>
              <w:t>E62XT1-C1PZ-B3</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T62T1-XC1-2C1M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T62T1-XM21-2C1M</w:t>
            </w:r>
          </w:p>
        </w:tc>
        <w:tc>
          <w:tcPr>
            <w:tcW w:w="1250" w:type="pct"/>
            <w:vAlign w:val="center"/>
          </w:tcPr>
          <w:p>
            <w:pPr>
              <w:rPr>
                <w:kern w:val="0"/>
                <w:sz w:val="20"/>
              </w:rPr>
            </w:pPr>
            <w:r>
              <w:rPr>
                <w:kern w:val="0"/>
                <w:sz w:val="20"/>
              </w:rPr>
              <w:t>AWS A5.36</w:t>
            </w:r>
          </w:p>
          <w:p>
            <w:pPr>
              <w:rPr>
                <w:kern w:val="0"/>
                <w:sz w:val="20"/>
              </w:rPr>
            </w:pPr>
            <w:r>
              <w:rPr>
                <w:kern w:val="0"/>
                <w:sz w:val="20"/>
              </w:rPr>
              <w:t>E62XT1-M21PZ-B3</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T62T1-XM21-2C1M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T69T1-XC1-9C1MV</w:t>
            </w:r>
          </w:p>
        </w:tc>
        <w:tc>
          <w:tcPr>
            <w:tcW w:w="1250" w:type="pct"/>
            <w:vAlign w:val="center"/>
          </w:tcPr>
          <w:p>
            <w:pPr>
              <w:rPr>
                <w:kern w:val="0"/>
                <w:sz w:val="20"/>
              </w:rPr>
            </w:pPr>
            <w:r>
              <w:rPr>
                <w:kern w:val="0"/>
                <w:sz w:val="20"/>
              </w:rPr>
              <w:t>AWS A5.36</w:t>
            </w:r>
          </w:p>
          <w:p>
            <w:pPr>
              <w:rPr>
                <w:kern w:val="0"/>
                <w:sz w:val="20"/>
              </w:rPr>
            </w:pPr>
            <w:r>
              <w:rPr>
                <w:kern w:val="0"/>
                <w:sz w:val="20"/>
              </w:rPr>
              <w:t>E69XT1-C1PZ-B91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T69T1-XC1-9C1MV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T69T1-XM21-9C1MV</w:t>
            </w:r>
          </w:p>
        </w:tc>
        <w:tc>
          <w:tcPr>
            <w:tcW w:w="1250" w:type="pct"/>
            <w:vAlign w:val="center"/>
          </w:tcPr>
          <w:p>
            <w:pPr>
              <w:rPr>
                <w:kern w:val="0"/>
                <w:sz w:val="20"/>
              </w:rPr>
            </w:pPr>
            <w:r>
              <w:rPr>
                <w:kern w:val="0"/>
                <w:sz w:val="20"/>
              </w:rPr>
              <w:t>AWS A5.36</w:t>
            </w:r>
          </w:p>
          <w:p>
            <w:pPr>
              <w:rPr>
                <w:kern w:val="0"/>
                <w:sz w:val="20"/>
              </w:rPr>
            </w:pPr>
            <w:r>
              <w:rPr>
                <w:kern w:val="0"/>
                <w:sz w:val="20"/>
              </w:rPr>
              <w:t>E69XT1-M21PZ-B91</w:t>
            </w:r>
          </w:p>
        </w:tc>
        <w:tc>
          <w:tcPr>
            <w:tcW w:w="1250" w:type="pct"/>
            <w:vAlign w:val="center"/>
          </w:tcPr>
          <w:p>
            <w:pPr>
              <w:rPr>
                <w:kern w:val="0"/>
                <w:sz w:val="20"/>
              </w:rPr>
            </w:pPr>
            <w:r>
              <w:rPr>
                <w:rFonts w:hint="eastAsia"/>
                <w:kern w:val="0"/>
                <w:sz w:val="20"/>
              </w:rPr>
              <w:t>I</w:t>
            </w:r>
            <w:r>
              <w:rPr>
                <w:kern w:val="0"/>
                <w:sz w:val="20"/>
              </w:rPr>
              <w:t>SO 17632</w:t>
            </w:r>
          </w:p>
          <w:p>
            <w:pPr>
              <w:rPr>
                <w:kern w:val="0"/>
                <w:sz w:val="20"/>
              </w:rPr>
            </w:pPr>
            <w:r>
              <w:rPr>
                <w:kern w:val="0"/>
                <w:sz w:val="20"/>
              </w:rPr>
              <w:t>T69T1-XM21-9C1MV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restart"/>
            <w:vAlign w:val="center"/>
          </w:tcPr>
          <w:p>
            <w:pPr>
              <w:rPr>
                <w:kern w:val="0"/>
                <w:sz w:val="20"/>
              </w:rPr>
            </w:pPr>
            <w:r>
              <w:rPr>
                <w:rFonts w:hint="eastAsia"/>
                <w:kern w:val="0"/>
                <w:sz w:val="20"/>
              </w:rPr>
              <w:t>不锈钢</w:t>
            </w:r>
          </w:p>
        </w:tc>
        <w:tc>
          <w:tcPr>
            <w:tcW w:w="1251"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TS308-FXX</w:t>
            </w:r>
          </w:p>
        </w:tc>
        <w:tc>
          <w:tcPr>
            <w:tcW w:w="1250" w:type="pct"/>
            <w:vAlign w:val="center"/>
          </w:tcPr>
          <w:p>
            <w:pPr>
              <w:rPr>
                <w:kern w:val="0"/>
                <w:sz w:val="20"/>
              </w:rPr>
            </w:pPr>
            <w:r>
              <w:rPr>
                <w:kern w:val="0"/>
                <w:sz w:val="20"/>
              </w:rPr>
              <w:t>AWS A5.22</w:t>
            </w:r>
          </w:p>
          <w:p>
            <w:pPr>
              <w:rPr>
                <w:kern w:val="0"/>
                <w:sz w:val="20"/>
              </w:rPr>
            </w:pPr>
            <w:r>
              <w:rPr>
                <w:kern w:val="0"/>
                <w:sz w:val="20"/>
              </w:rPr>
              <w:t>E308T-X</w:t>
            </w:r>
          </w:p>
        </w:tc>
        <w:tc>
          <w:tcPr>
            <w:tcW w:w="1250" w:type="pct"/>
            <w:vAlign w:val="center"/>
          </w:tcPr>
          <w:p>
            <w:pPr>
              <w:rPr>
                <w:kern w:val="0"/>
                <w:sz w:val="20"/>
              </w:rPr>
            </w:pPr>
            <w:r>
              <w:rPr>
                <w:rFonts w:hint="eastAsia"/>
                <w:kern w:val="0"/>
                <w:sz w:val="20"/>
              </w:rPr>
              <w:t>I</w:t>
            </w:r>
            <w:r>
              <w:rPr>
                <w:kern w:val="0"/>
                <w:sz w:val="20"/>
              </w:rPr>
              <w:t>SO 17633</w:t>
            </w:r>
          </w:p>
          <w:p>
            <w:pPr>
              <w:rPr>
                <w:kern w:val="0"/>
                <w:sz w:val="20"/>
              </w:rPr>
            </w:pPr>
            <w:r>
              <w:rPr>
                <w:kern w:val="0"/>
                <w:sz w:val="20"/>
              </w:rPr>
              <w:t>TS308-FXX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TS2209-FXX</w:t>
            </w:r>
          </w:p>
        </w:tc>
        <w:tc>
          <w:tcPr>
            <w:tcW w:w="1250" w:type="pct"/>
            <w:vAlign w:val="center"/>
          </w:tcPr>
          <w:p>
            <w:pPr>
              <w:rPr>
                <w:kern w:val="0"/>
                <w:sz w:val="20"/>
              </w:rPr>
            </w:pPr>
            <w:r>
              <w:rPr>
                <w:kern w:val="0"/>
                <w:sz w:val="20"/>
              </w:rPr>
              <w:t>AWS A5.22</w:t>
            </w:r>
          </w:p>
          <w:p>
            <w:pPr>
              <w:rPr>
                <w:kern w:val="0"/>
                <w:sz w:val="20"/>
              </w:rPr>
            </w:pPr>
            <w:r>
              <w:rPr>
                <w:kern w:val="0"/>
                <w:sz w:val="20"/>
              </w:rPr>
              <w:t>E2209T-X</w:t>
            </w:r>
          </w:p>
        </w:tc>
        <w:tc>
          <w:tcPr>
            <w:tcW w:w="1250" w:type="pct"/>
            <w:vAlign w:val="center"/>
          </w:tcPr>
          <w:p>
            <w:pPr>
              <w:rPr>
                <w:kern w:val="0"/>
                <w:sz w:val="20"/>
              </w:rPr>
            </w:pPr>
            <w:r>
              <w:rPr>
                <w:rFonts w:hint="eastAsia"/>
                <w:kern w:val="0"/>
                <w:sz w:val="20"/>
              </w:rPr>
              <w:t>I</w:t>
            </w:r>
            <w:r>
              <w:rPr>
                <w:kern w:val="0"/>
                <w:sz w:val="20"/>
              </w:rPr>
              <w:t>SO 17633</w:t>
            </w:r>
          </w:p>
          <w:p>
            <w:pPr>
              <w:rPr>
                <w:kern w:val="0"/>
                <w:sz w:val="20"/>
              </w:rPr>
            </w:pPr>
            <w:r>
              <w:rPr>
                <w:kern w:val="0"/>
                <w:sz w:val="20"/>
              </w:rPr>
              <w:t>TS2209-FXX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vMerge w:val="continue"/>
            <w:vAlign w:val="center"/>
          </w:tcPr>
          <w:p>
            <w:pPr>
              <w:rPr>
                <w:kern w:val="0"/>
                <w:sz w:val="20"/>
              </w:rPr>
            </w:pPr>
          </w:p>
        </w:tc>
        <w:tc>
          <w:tcPr>
            <w:tcW w:w="1251"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TS308L-MXX</w:t>
            </w:r>
          </w:p>
        </w:tc>
        <w:tc>
          <w:tcPr>
            <w:tcW w:w="1250" w:type="pct"/>
            <w:vAlign w:val="center"/>
          </w:tcPr>
          <w:p>
            <w:pPr>
              <w:rPr>
                <w:kern w:val="0"/>
                <w:sz w:val="20"/>
              </w:rPr>
            </w:pPr>
            <w:r>
              <w:rPr>
                <w:kern w:val="0"/>
                <w:sz w:val="20"/>
              </w:rPr>
              <w:t>AWS A5.22</w:t>
            </w:r>
          </w:p>
          <w:p>
            <w:pPr>
              <w:rPr>
                <w:kern w:val="0"/>
                <w:sz w:val="20"/>
              </w:rPr>
            </w:pPr>
            <w:r>
              <w:rPr>
                <w:kern w:val="0"/>
                <w:sz w:val="20"/>
              </w:rPr>
              <w:t>EC308L</w:t>
            </w:r>
          </w:p>
        </w:tc>
        <w:tc>
          <w:tcPr>
            <w:tcW w:w="1250" w:type="pct"/>
            <w:vAlign w:val="center"/>
          </w:tcPr>
          <w:p>
            <w:pPr>
              <w:rPr>
                <w:kern w:val="0"/>
                <w:sz w:val="20"/>
              </w:rPr>
            </w:pPr>
            <w:r>
              <w:rPr>
                <w:rFonts w:hint="eastAsia"/>
                <w:kern w:val="0"/>
                <w:sz w:val="20"/>
              </w:rPr>
              <w:t>I</w:t>
            </w:r>
            <w:r>
              <w:rPr>
                <w:kern w:val="0"/>
                <w:sz w:val="20"/>
              </w:rPr>
              <w:t>SO 17633</w:t>
            </w:r>
          </w:p>
          <w:p>
            <w:pPr>
              <w:rPr>
                <w:kern w:val="0"/>
                <w:sz w:val="20"/>
              </w:rPr>
            </w:pPr>
            <w:r>
              <w:rPr>
                <w:kern w:val="0"/>
                <w:sz w:val="20"/>
              </w:rPr>
              <w:t>TS308L-MXX</w:t>
            </w:r>
          </w:p>
        </w:tc>
      </w:tr>
    </w:tbl>
    <w:p/>
    <w:p>
      <w:pPr>
        <w:pStyle w:val="87"/>
        <w:rPr>
          <w:sz w:val="21"/>
          <w:szCs w:val="21"/>
        </w:rPr>
      </w:pPr>
    </w:p>
    <w:p>
      <w:pPr>
        <w:pStyle w:val="87"/>
        <w:rPr>
          <w:sz w:val="21"/>
          <w:szCs w:val="21"/>
        </w:rPr>
      </w:pPr>
      <w:bookmarkStart w:id="41" w:name="_Toc131325359"/>
      <w:r>
        <w:rPr>
          <w:rFonts w:hint="eastAsia"/>
          <w:sz w:val="21"/>
          <w:szCs w:val="21"/>
        </w:rPr>
        <w:t>附录</w:t>
      </w:r>
      <w:r>
        <w:rPr>
          <w:sz w:val="21"/>
          <w:szCs w:val="21"/>
        </w:rPr>
        <w:t>D</w:t>
      </w:r>
      <w:r>
        <w:rPr>
          <w:rFonts w:hint="eastAsia"/>
          <w:sz w:val="21"/>
          <w:szCs w:val="21"/>
        </w:rPr>
        <w:t>：常用钢制管道药芯焊丝选用表</w:t>
      </w:r>
      <w:bookmarkEnd w:id="41"/>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3083"/>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3" w:type="pct"/>
            <w:gridSpan w:val="2"/>
            <w:vAlign w:val="center"/>
          </w:tcPr>
          <w:p>
            <w:pPr>
              <w:jc w:val="center"/>
              <w:rPr>
                <w:kern w:val="0"/>
                <w:sz w:val="20"/>
              </w:rPr>
            </w:pPr>
            <w:r>
              <w:rPr>
                <w:rFonts w:hint="eastAsia"/>
                <w:kern w:val="0"/>
                <w:sz w:val="20"/>
              </w:rPr>
              <w:t>材料类别</w:t>
            </w:r>
          </w:p>
        </w:tc>
        <w:tc>
          <w:tcPr>
            <w:tcW w:w="1667" w:type="pct"/>
            <w:vAlign w:val="center"/>
          </w:tcPr>
          <w:p>
            <w:pPr>
              <w:jc w:val="center"/>
              <w:rPr>
                <w:kern w:val="0"/>
                <w:sz w:val="20"/>
              </w:rPr>
            </w:pPr>
            <w:r>
              <w:rPr>
                <w:rFonts w:hint="eastAsia"/>
                <w:kern w:val="0"/>
                <w:sz w:val="20"/>
              </w:rPr>
              <w:t>匹配的药芯焊丝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restart"/>
            <w:vAlign w:val="center"/>
          </w:tcPr>
          <w:p>
            <w:pPr>
              <w:rPr>
                <w:kern w:val="0"/>
                <w:sz w:val="20"/>
              </w:rPr>
            </w:pPr>
            <w:r>
              <w:rPr>
                <w:rFonts w:hint="eastAsia"/>
                <w:kern w:val="0"/>
                <w:sz w:val="20"/>
              </w:rPr>
              <w:t>非合金钢及细晶粒钢</w:t>
            </w:r>
          </w:p>
        </w:tc>
        <w:tc>
          <w:tcPr>
            <w:tcW w:w="1668" w:type="pct"/>
            <w:vMerge w:val="restart"/>
            <w:vAlign w:val="center"/>
          </w:tcPr>
          <w:p>
            <w:pPr>
              <w:rPr>
                <w:kern w:val="0"/>
                <w:sz w:val="20"/>
              </w:rPr>
            </w:pPr>
            <w:r>
              <w:rPr>
                <w:rFonts w:hint="eastAsia"/>
                <w:kern w:val="0"/>
                <w:sz w:val="20"/>
              </w:rPr>
              <w:t>2</w:t>
            </w:r>
            <w:r>
              <w:rPr>
                <w:kern w:val="0"/>
                <w:sz w:val="20"/>
              </w:rPr>
              <w:t>0</w:t>
            </w:r>
            <w:r>
              <w:rPr>
                <w:rFonts w:hint="eastAsia"/>
                <w:kern w:val="0"/>
                <w:sz w:val="20"/>
              </w:rPr>
              <w:t>#、1</w:t>
            </w:r>
            <w:r>
              <w:rPr>
                <w:kern w:val="0"/>
                <w:sz w:val="20"/>
              </w:rPr>
              <w:t>6M</w:t>
            </w:r>
            <w:r>
              <w:rPr>
                <w:rFonts w:hint="eastAsia"/>
                <w:kern w:val="0"/>
                <w:sz w:val="20"/>
              </w:rPr>
              <w:t>n</w:t>
            </w:r>
          </w:p>
        </w:tc>
        <w:tc>
          <w:tcPr>
            <w:tcW w:w="1667"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T492T1-XC1A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continue"/>
            <w:vAlign w:val="center"/>
          </w:tcPr>
          <w:p>
            <w:pPr>
              <w:rPr>
                <w:kern w:val="0"/>
                <w:sz w:val="20"/>
              </w:rPr>
            </w:pPr>
          </w:p>
        </w:tc>
        <w:tc>
          <w:tcPr>
            <w:tcW w:w="1667"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T492T1-XM21A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restart"/>
            <w:vAlign w:val="center"/>
          </w:tcPr>
          <w:p>
            <w:pPr>
              <w:rPr>
                <w:kern w:val="0"/>
                <w:sz w:val="20"/>
              </w:rPr>
            </w:pPr>
            <w:r>
              <w:rPr>
                <w:kern w:val="0"/>
                <w:sz w:val="20"/>
              </w:rPr>
              <w:t>L450MB</w:t>
            </w:r>
          </w:p>
        </w:tc>
        <w:tc>
          <w:tcPr>
            <w:tcW w:w="1667"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T553T1-XC1A-N2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continue"/>
            <w:vAlign w:val="center"/>
          </w:tcPr>
          <w:p>
            <w:pPr>
              <w:rPr>
                <w:kern w:val="0"/>
                <w:sz w:val="20"/>
              </w:rPr>
            </w:pPr>
          </w:p>
        </w:tc>
        <w:tc>
          <w:tcPr>
            <w:tcW w:w="1667" w:type="pct"/>
            <w:vAlign w:val="center"/>
          </w:tcPr>
          <w:p>
            <w:pPr>
              <w:rPr>
                <w:kern w:val="0"/>
                <w:sz w:val="20"/>
              </w:rPr>
            </w:pPr>
            <w:r>
              <w:rPr>
                <w:rFonts w:hint="eastAsia"/>
                <w:kern w:val="0"/>
                <w:sz w:val="20"/>
              </w:rPr>
              <w:t>G</w:t>
            </w:r>
            <w:r>
              <w:rPr>
                <w:kern w:val="0"/>
                <w:sz w:val="20"/>
              </w:rPr>
              <w:t>B/T 10045</w:t>
            </w:r>
          </w:p>
          <w:p>
            <w:pPr>
              <w:rPr>
                <w:kern w:val="0"/>
                <w:sz w:val="20"/>
              </w:rPr>
            </w:pPr>
            <w:r>
              <w:rPr>
                <w:kern w:val="0"/>
                <w:sz w:val="20"/>
              </w:rPr>
              <w:t>T553T1-XM21A-N2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restart"/>
            <w:vAlign w:val="center"/>
          </w:tcPr>
          <w:p>
            <w:pPr>
              <w:rPr>
                <w:kern w:val="0"/>
                <w:sz w:val="20"/>
              </w:rPr>
            </w:pPr>
            <w:r>
              <w:rPr>
                <w:rFonts w:hint="eastAsia"/>
                <w:kern w:val="0"/>
                <w:sz w:val="20"/>
              </w:rPr>
              <w:t>热强钢</w:t>
            </w:r>
          </w:p>
        </w:tc>
        <w:tc>
          <w:tcPr>
            <w:tcW w:w="1668" w:type="pct"/>
            <w:vMerge w:val="restart"/>
            <w:vAlign w:val="center"/>
          </w:tcPr>
          <w:p>
            <w:pPr>
              <w:rPr>
                <w:kern w:val="0"/>
                <w:sz w:val="20"/>
              </w:rPr>
            </w:pPr>
            <w:r>
              <w:rPr>
                <w:kern w:val="0"/>
                <w:sz w:val="20"/>
              </w:rPr>
              <w:t>1.25C</w:t>
            </w:r>
            <w:r>
              <w:rPr>
                <w:rFonts w:hint="eastAsia"/>
                <w:kern w:val="0"/>
                <w:sz w:val="20"/>
              </w:rPr>
              <w:t>r-</w:t>
            </w:r>
            <w:r>
              <w:rPr>
                <w:kern w:val="0"/>
                <w:sz w:val="20"/>
              </w:rPr>
              <w:t>0</w:t>
            </w:r>
            <w:r>
              <w:rPr>
                <w:rFonts w:hint="eastAsia"/>
                <w:kern w:val="0"/>
                <w:sz w:val="20"/>
              </w:rPr>
              <w:t>.</w:t>
            </w:r>
            <w:r>
              <w:rPr>
                <w:kern w:val="0"/>
                <w:sz w:val="20"/>
              </w:rPr>
              <w:t>5M</w:t>
            </w:r>
            <w:r>
              <w:rPr>
                <w:rFonts w:hint="eastAsia"/>
                <w:kern w:val="0"/>
                <w:sz w:val="20"/>
              </w:rPr>
              <w:t>o</w:t>
            </w:r>
          </w:p>
          <w:p>
            <w:pPr>
              <w:rPr>
                <w:kern w:val="0"/>
                <w:sz w:val="20"/>
              </w:rPr>
            </w:pPr>
            <w:r>
              <w:rPr>
                <w:rFonts w:hint="eastAsia"/>
                <w:kern w:val="0"/>
                <w:sz w:val="20"/>
              </w:rPr>
              <w:t>1</w:t>
            </w:r>
            <w:r>
              <w:rPr>
                <w:kern w:val="0"/>
                <w:sz w:val="20"/>
              </w:rPr>
              <w:t>2C</w:t>
            </w:r>
            <w:r>
              <w:rPr>
                <w:rFonts w:hint="eastAsia"/>
                <w:kern w:val="0"/>
                <w:sz w:val="20"/>
              </w:rPr>
              <w:t>r</w:t>
            </w:r>
            <w:r>
              <w:rPr>
                <w:kern w:val="0"/>
                <w:sz w:val="20"/>
              </w:rPr>
              <w:t>1M</w:t>
            </w:r>
            <w:r>
              <w:rPr>
                <w:rFonts w:hint="eastAsia"/>
                <w:kern w:val="0"/>
                <w:sz w:val="20"/>
              </w:rPr>
              <w:t>o、P</w:t>
            </w:r>
            <w:r>
              <w:rPr>
                <w:kern w:val="0"/>
                <w:sz w:val="20"/>
              </w:rPr>
              <w:t>11</w:t>
            </w: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T55T1-XC1-2M3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continue"/>
            <w:vAlign w:val="center"/>
          </w:tcPr>
          <w:p>
            <w:pPr>
              <w:rPr>
                <w:kern w:val="0"/>
                <w:sz w:val="20"/>
              </w:rPr>
            </w:pP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T55T1-XM21-2M3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restart"/>
            <w:vAlign w:val="center"/>
          </w:tcPr>
          <w:p>
            <w:pPr>
              <w:rPr>
                <w:kern w:val="0"/>
                <w:sz w:val="20"/>
              </w:rPr>
            </w:pPr>
            <w:r>
              <w:rPr>
                <w:kern w:val="0"/>
                <w:sz w:val="20"/>
              </w:rPr>
              <w:t>2</w:t>
            </w:r>
            <w:r>
              <w:rPr>
                <w:rFonts w:hint="eastAsia"/>
                <w:kern w:val="0"/>
                <w:sz w:val="20"/>
              </w:rPr>
              <w:t>.</w:t>
            </w:r>
            <w:r>
              <w:rPr>
                <w:kern w:val="0"/>
                <w:sz w:val="20"/>
              </w:rPr>
              <w:t>25C</w:t>
            </w:r>
            <w:r>
              <w:rPr>
                <w:rFonts w:hint="eastAsia"/>
                <w:kern w:val="0"/>
                <w:sz w:val="20"/>
              </w:rPr>
              <w:t>r-</w:t>
            </w:r>
            <w:r>
              <w:rPr>
                <w:kern w:val="0"/>
                <w:sz w:val="20"/>
              </w:rPr>
              <w:t>1M</w:t>
            </w:r>
            <w:r>
              <w:rPr>
                <w:rFonts w:hint="eastAsia"/>
                <w:kern w:val="0"/>
                <w:sz w:val="20"/>
              </w:rPr>
              <w:t>o</w:t>
            </w:r>
          </w:p>
          <w:p>
            <w:pPr>
              <w:rPr>
                <w:kern w:val="0"/>
                <w:sz w:val="20"/>
              </w:rPr>
            </w:pPr>
            <w:r>
              <w:rPr>
                <w:rFonts w:hint="eastAsia"/>
                <w:kern w:val="0"/>
                <w:sz w:val="20"/>
              </w:rPr>
              <w:t>P</w:t>
            </w:r>
            <w:r>
              <w:rPr>
                <w:kern w:val="0"/>
                <w:sz w:val="20"/>
              </w:rPr>
              <w:t>22</w:t>
            </w: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T62T1-XC1-2C1M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continue"/>
            <w:vAlign w:val="center"/>
          </w:tcPr>
          <w:p>
            <w:pPr>
              <w:rPr>
                <w:kern w:val="0"/>
                <w:sz w:val="20"/>
              </w:rPr>
            </w:pP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T62T1-XM21-2C1M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restart"/>
            <w:vAlign w:val="center"/>
          </w:tcPr>
          <w:p>
            <w:pPr>
              <w:rPr>
                <w:kern w:val="0"/>
                <w:sz w:val="20"/>
              </w:rPr>
            </w:pPr>
            <w:r>
              <w:rPr>
                <w:kern w:val="0"/>
                <w:sz w:val="20"/>
              </w:rPr>
              <w:t>9C</w:t>
            </w:r>
            <w:r>
              <w:rPr>
                <w:rFonts w:hint="eastAsia"/>
                <w:kern w:val="0"/>
                <w:sz w:val="20"/>
              </w:rPr>
              <w:t>r-</w:t>
            </w:r>
            <w:r>
              <w:rPr>
                <w:kern w:val="0"/>
                <w:sz w:val="20"/>
              </w:rPr>
              <w:t>1M</w:t>
            </w:r>
            <w:r>
              <w:rPr>
                <w:rFonts w:hint="eastAsia"/>
                <w:kern w:val="0"/>
                <w:sz w:val="20"/>
              </w:rPr>
              <w:t>o-</w:t>
            </w:r>
            <w:r>
              <w:rPr>
                <w:kern w:val="0"/>
                <w:sz w:val="20"/>
              </w:rPr>
              <w:t>V</w:t>
            </w:r>
          </w:p>
          <w:p>
            <w:pPr>
              <w:rPr>
                <w:kern w:val="0"/>
                <w:sz w:val="20"/>
              </w:rPr>
            </w:pPr>
            <w:r>
              <w:rPr>
                <w:rFonts w:hint="eastAsia"/>
                <w:kern w:val="0"/>
                <w:sz w:val="20"/>
              </w:rPr>
              <w:t>P</w:t>
            </w:r>
            <w:r>
              <w:rPr>
                <w:kern w:val="0"/>
                <w:sz w:val="20"/>
              </w:rPr>
              <w:t>91</w:t>
            </w: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T69T1-XC1-9C1MV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Merge w:val="continue"/>
            <w:vAlign w:val="center"/>
          </w:tcPr>
          <w:p>
            <w:pPr>
              <w:rPr>
                <w:kern w:val="0"/>
                <w:sz w:val="20"/>
              </w:rPr>
            </w:pPr>
          </w:p>
        </w:tc>
        <w:tc>
          <w:tcPr>
            <w:tcW w:w="1667" w:type="pct"/>
            <w:vAlign w:val="center"/>
          </w:tcPr>
          <w:p>
            <w:pPr>
              <w:rPr>
                <w:kern w:val="0"/>
                <w:sz w:val="20"/>
              </w:rPr>
            </w:pPr>
            <w:r>
              <w:rPr>
                <w:rFonts w:hint="eastAsia"/>
                <w:kern w:val="0"/>
                <w:sz w:val="20"/>
              </w:rPr>
              <w:t>G</w:t>
            </w:r>
            <w:r>
              <w:rPr>
                <w:kern w:val="0"/>
                <w:sz w:val="20"/>
              </w:rPr>
              <w:t>B/T 17493</w:t>
            </w:r>
          </w:p>
          <w:p>
            <w:pPr>
              <w:rPr>
                <w:kern w:val="0"/>
                <w:sz w:val="20"/>
              </w:rPr>
            </w:pPr>
            <w:r>
              <w:rPr>
                <w:kern w:val="0"/>
                <w:sz w:val="20"/>
              </w:rPr>
              <w:t>T69T1-XM21-9C1MV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restart"/>
            <w:vAlign w:val="center"/>
          </w:tcPr>
          <w:p>
            <w:pPr>
              <w:rPr>
                <w:kern w:val="0"/>
                <w:sz w:val="20"/>
              </w:rPr>
            </w:pPr>
            <w:r>
              <w:rPr>
                <w:rFonts w:hint="eastAsia"/>
                <w:kern w:val="0"/>
                <w:sz w:val="20"/>
              </w:rPr>
              <w:t>不锈钢</w:t>
            </w:r>
          </w:p>
        </w:tc>
        <w:tc>
          <w:tcPr>
            <w:tcW w:w="1668" w:type="pct"/>
            <w:vAlign w:val="center"/>
          </w:tcPr>
          <w:p>
            <w:pPr>
              <w:rPr>
                <w:kern w:val="0"/>
                <w:sz w:val="20"/>
              </w:rPr>
            </w:pPr>
            <w:r>
              <w:rPr>
                <w:kern w:val="0"/>
                <w:sz w:val="20"/>
              </w:rPr>
              <w:t>06C</w:t>
            </w:r>
            <w:r>
              <w:rPr>
                <w:rFonts w:hint="eastAsia"/>
                <w:kern w:val="0"/>
                <w:sz w:val="20"/>
              </w:rPr>
              <w:t>r</w:t>
            </w:r>
            <w:r>
              <w:rPr>
                <w:kern w:val="0"/>
                <w:sz w:val="20"/>
              </w:rPr>
              <w:t>19N</w:t>
            </w:r>
            <w:r>
              <w:rPr>
                <w:rFonts w:hint="eastAsia"/>
                <w:kern w:val="0"/>
                <w:sz w:val="20"/>
              </w:rPr>
              <w:t>i</w:t>
            </w:r>
            <w:r>
              <w:rPr>
                <w:kern w:val="0"/>
                <w:sz w:val="20"/>
              </w:rPr>
              <w:t>10</w:t>
            </w:r>
          </w:p>
        </w:tc>
        <w:tc>
          <w:tcPr>
            <w:tcW w:w="1667"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TS308-FXX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Align w:val="center"/>
          </w:tcPr>
          <w:p>
            <w:pPr>
              <w:rPr>
                <w:kern w:val="0"/>
                <w:sz w:val="20"/>
              </w:rPr>
            </w:pPr>
            <w:r>
              <w:rPr>
                <w:kern w:val="0"/>
                <w:sz w:val="20"/>
              </w:rPr>
              <w:t>22C</w:t>
            </w:r>
            <w:r>
              <w:rPr>
                <w:rFonts w:hint="eastAsia"/>
                <w:kern w:val="0"/>
                <w:sz w:val="20"/>
              </w:rPr>
              <w:t>r-</w:t>
            </w:r>
            <w:r>
              <w:rPr>
                <w:kern w:val="0"/>
                <w:sz w:val="20"/>
              </w:rPr>
              <w:t>05N</w:t>
            </w:r>
            <w:r>
              <w:rPr>
                <w:rFonts w:hint="eastAsia"/>
                <w:kern w:val="0"/>
                <w:sz w:val="20"/>
              </w:rPr>
              <w:t>i</w:t>
            </w:r>
          </w:p>
        </w:tc>
        <w:tc>
          <w:tcPr>
            <w:tcW w:w="1667"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TS2209-FXX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vMerge w:val="continue"/>
            <w:vAlign w:val="center"/>
          </w:tcPr>
          <w:p>
            <w:pPr>
              <w:rPr>
                <w:kern w:val="0"/>
                <w:sz w:val="20"/>
              </w:rPr>
            </w:pPr>
          </w:p>
        </w:tc>
        <w:tc>
          <w:tcPr>
            <w:tcW w:w="1668" w:type="pct"/>
            <w:vAlign w:val="center"/>
          </w:tcPr>
          <w:p>
            <w:pPr>
              <w:rPr>
                <w:kern w:val="0"/>
                <w:sz w:val="20"/>
              </w:rPr>
            </w:pPr>
            <w:r>
              <w:rPr>
                <w:kern w:val="0"/>
                <w:sz w:val="20"/>
              </w:rPr>
              <w:t>06C</w:t>
            </w:r>
            <w:r>
              <w:rPr>
                <w:rFonts w:hint="eastAsia"/>
                <w:kern w:val="0"/>
                <w:sz w:val="20"/>
              </w:rPr>
              <w:t>r</w:t>
            </w:r>
            <w:r>
              <w:rPr>
                <w:kern w:val="0"/>
                <w:sz w:val="20"/>
              </w:rPr>
              <w:t>19N</w:t>
            </w:r>
            <w:r>
              <w:rPr>
                <w:rFonts w:hint="eastAsia"/>
                <w:kern w:val="0"/>
                <w:sz w:val="20"/>
              </w:rPr>
              <w:t>i</w:t>
            </w:r>
            <w:r>
              <w:rPr>
                <w:kern w:val="0"/>
                <w:sz w:val="20"/>
              </w:rPr>
              <w:t>10</w:t>
            </w:r>
          </w:p>
        </w:tc>
        <w:tc>
          <w:tcPr>
            <w:tcW w:w="1667" w:type="pct"/>
            <w:vAlign w:val="center"/>
          </w:tcPr>
          <w:p>
            <w:pPr>
              <w:rPr>
                <w:kern w:val="0"/>
                <w:sz w:val="20"/>
              </w:rPr>
            </w:pPr>
            <w:r>
              <w:rPr>
                <w:rFonts w:hint="eastAsia"/>
                <w:kern w:val="0"/>
                <w:sz w:val="20"/>
              </w:rPr>
              <w:t>G</w:t>
            </w:r>
            <w:r>
              <w:rPr>
                <w:kern w:val="0"/>
                <w:sz w:val="20"/>
              </w:rPr>
              <w:t>B/T 17853</w:t>
            </w:r>
          </w:p>
          <w:p>
            <w:pPr>
              <w:rPr>
                <w:kern w:val="0"/>
                <w:sz w:val="20"/>
              </w:rPr>
            </w:pPr>
            <w:r>
              <w:rPr>
                <w:kern w:val="0"/>
                <w:sz w:val="20"/>
              </w:rPr>
              <w:t>TS308L-MXX</w:t>
            </w:r>
          </w:p>
        </w:tc>
      </w:tr>
    </w:tbl>
    <w:p>
      <w:pPr>
        <w:spacing w:line="400" w:lineRule="exact"/>
        <w:rPr>
          <w:rFonts w:ascii="宋体" w:hAnsi="宋体"/>
          <w:color w:val="FF0000"/>
          <w:sz w:val="24"/>
          <w:u w:val="single"/>
        </w:rPr>
        <w:sectPr>
          <w:pgSz w:w="11906" w:h="16838"/>
          <w:pgMar w:top="1440" w:right="1440" w:bottom="1440" w:left="1440" w:header="851" w:footer="992" w:gutter="0"/>
          <w:cols w:space="425" w:num="1"/>
          <w:docGrid w:linePitch="312" w:charSpace="0"/>
        </w:sectPr>
      </w:pPr>
    </w:p>
    <w:p>
      <w:pPr>
        <w:pStyle w:val="27"/>
        <w:ind w:left="109" w:leftChars="11" w:right="-166" w:rightChars="-79" w:hanging="86" w:hangingChars="41"/>
        <w:rPr>
          <w:b/>
          <w:bCs/>
          <w:color w:val="000000"/>
          <w:kern w:val="0"/>
        </w:rPr>
      </w:pPr>
    </w:p>
    <w:p>
      <w:pPr>
        <w:pStyle w:val="47"/>
        <w:rPr>
          <w:sz w:val="24"/>
        </w:rPr>
      </w:pPr>
      <w:bookmarkStart w:id="42" w:name="_Toc131325360"/>
      <w:r>
        <w:rPr>
          <w:rFonts w:hint="eastAsia"/>
          <w:sz w:val="24"/>
        </w:rPr>
        <w:t>本规范用词说明</w:t>
      </w:r>
      <w:bookmarkEnd w:id="42"/>
    </w:p>
    <w:p>
      <w:pPr>
        <w:pStyle w:val="64"/>
        <w:ind w:firstLine="0" w:firstLineChars="0"/>
        <w:rPr>
          <w:b/>
          <w:bCs/>
          <w:color w:val="000000"/>
          <w:sz w:val="28"/>
          <w:szCs w:val="28"/>
        </w:rPr>
      </w:pPr>
    </w:p>
    <w:p>
      <w:pPr>
        <w:pStyle w:val="64"/>
        <w:ind w:firstLine="420"/>
        <w:rPr>
          <w:rFonts w:ascii="宋体" w:hAnsi="宋体"/>
          <w:color w:val="000000"/>
          <w:sz w:val="21"/>
          <w:szCs w:val="21"/>
        </w:rPr>
      </w:pPr>
      <w:r>
        <w:rPr>
          <w:rFonts w:hint="eastAsia" w:ascii="宋体" w:hAnsi="宋体"/>
          <w:color w:val="000000"/>
          <w:sz w:val="21"/>
          <w:szCs w:val="21"/>
        </w:rPr>
        <w:t>1  为便于在执行本规范条文时区别对待，对于要求严格程度不同的用词说明如下：</w:t>
      </w:r>
    </w:p>
    <w:p>
      <w:pPr>
        <w:pStyle w:val="64"/>
        <w:ind w:firstLine="630" w:firstLineChars="300"/>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 xml:space="preserve"> 表示很严格，非这样做不可的：</w:t>
      </w:r>
    </w:p>
    <w:p>
      <w:pPr>
        <w:pStyle w:val="64"/>
        <w:ind w:firstLine="945" w:firstLineChars="450"/>
        <w:rPr>
          <w:rFonts w:ascii="宋体" w:hAnsi="宋体"/>
          <w:color w:val="000000"/>
          <w:sz w:val="21"/>
          <w:szCs w:val="21"/>
        </w:rPr>
      </w:pPr>
      <w:r>
        <w:rPr>
          <w:rFonts w:hint="eastAsia" w:ascii="宋体" w:hAnsi="宋体"/>
          <w:color w:val="000000"/>
          <w:sz w:val="21"/>
          <w:szCs w:val="21"/>
        </w:rPr>
        <w:t>正面词采用“必须”，反面词采用“严禁”；</w:t>
      </w:r>
    </w:p>
    <w:p>
      <w:pPr>
        <w:pStyle w:val="64"/>
        <w:ind w:firstLine="630" w:firstLineChars="3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 xml:space="preserve"> 表示严格，在正常情况下均这样做的：</w:t>
      </w:r>
    </w:p>
    <w:p>
      <w:pPr>
        <w:pStyle w:val="64"/>
        <w:ind w:firstLine="945" w:firstLineChars="450"/>
        <w:rPr>
          <w:rFonts w:ascii="宋体" w:hAnsi="宋体"/>
          <w:color w:val="000000"/>
          <w:sz w:val="21"/>
          <w:szCs w:val="21"/>
        </w:rPr>
      </w:pPr>
      <w:r>
        <w:rPr>
          <w:rFonts w:hint="eastAsia" w:ascii="宋体" w:hAnsi="宋体"/>
          <w:color w:val="000000"/>
          <w:sz w:val="21"/>
          <w:szCs w:val="21"/>
        </w:rPr>
        <w:t>正面词采用“应”，反面词采用“不应”或“不得”；</w:t>
      </w:r>
    </w:p>
    <w:p>
      <w:pPr>
        <w:pStyle w:val="64"/>
        <w:ind w:firstLine="630" w:firstLineChars="300"/>
        <w:rPr>
          <w:rFonts w:ascii="宋体" w:hAnsi="宋体"/>
          <w:color w:val="000000"/>
          <w:sz w:val="21"/>
          <w:szCs w:val="21"/>
        </w:rPr>
      </w:pPr>
      <w:r>
        <w:rPr>
          <w:rFonts w:hint="eastAsia" w:ascii="宋体" w:hAnsi="宋体"/>
          <w:color w:val="000000"/>
          <w:sz w:val="21"/>
          <w:szCs w:val="21"/>
        </w:rPr>
        <w:t>3）表示允许稍有选择，在条件许可时首先应这样做的：</w:t>
      </w:r>
    </w:p>
    <w:p>
      <w:pPr>
        <w:pStyle w:val="64"/>
        <w:ind w:firstLine="945" w:firstLineChars="450"/>
        <w:rPr>
          <w:rFonts w:ascii="宋体" w:hAnsi="宋体"/>
          <w:color w:val="000000"/>
          <w:sz w:val="21"/>
          <w:szCs w:val="21"/>
        </w:rPr>
      </w:pPr>
      <w:r>
        <w:rPr>
          <w:rFonts w:hint="eastAsia" w:ascii="宋体" w:hAnsi="宋体"/>
          <w:color w:val="000000"/>
          <w:sz w:val="21"/>
          <w:szCs w:val="21"/>
        </w:rPr>
        <w:t>正面词采用“宜” ，反面词采用“不宜”；</w:t>
      </w:r>
    </w:p>
    <w:p>
      <w:pPr>
        <w:pStyle w:val="64"/>
        <w:ind w:firstLine="0" w:firstLineChars="0"/>
        <w:rPr>
          <w:rFonts w:ascii="宋体" w:hAnsi="宋体"/>
          <w:color w:val="000000"/>
          <w:sz w:val="21"/>
          <w:szCs w:val="21"/>
        </w:rPr>
      </w:pPr>
      <w:r>
        <w:rPr>
          <w:rFonts w:hint="eastAsia" w:ascii="宋体" w:hAnsi="宋体"/>
          <w:color w:val="000000"/>
          <w:sz w:val="21"/>
          <w:szCs w:val="21"/>
        </w:rPr>
        <w:t xml:space="preserve">      4）表示有选择，在一定条件下可以这样做的，采用“可”。</w:t>
      </w:r>
    </w:p>
    <w:p>
      <w:pPr>
        <w:pStyle w:val="64"/>
        <w:ind w:firstLine="420"/>
        <w:rPr>
          <w:rFonts w:ascii="宋体" w:hAnsi="宋体"/>
          <w:color w:val="000000"/>
          <w:sz w:val="21"/>
          <w:szCs w:val="21"/>
        </w:rPr>
      </w:pPr>
      <w:r>
        <w:rPr>
          <w:rFonts w:hint="eastAsia" w:ascii="宋体" w:hAnsi="宋体"/>
          <w:color w:val="000000"/>
          <w:sz w:val="21"/>
          <w:szCs w:val="21"/>
        </w:rPr>
        <w:t>2  条文中指明应按其他有关标准执行的写法为：“应符合</w:t>
      </w:r>
      <w:r>
        <w:rPr>
          <w:rFonts w:ascii="宋体" w:hAnsi="宋体"/>
          <w:color w:val="000000"/>
          <w:sz w:val="21"/>
          <w:szCs w:val="21"/>
        </w:rPr>
        <w:t>……</w:t>
      </w:r>
      <w:r>
        <w:rPr>
          <w:rFonts w:hint="eastAsia" w:ascii="宋体" w:hAnsi="宋体"/>
          <w:color w:val="000000"/>
          <w:sz w:val="21"/>
          <w:szCs w:val="21"/>
        </w:rPr>
        <w:t>.的规定”或“应按</w:t>
      </w:r>
      <w:r>
        <w:rPr>
          <w:rFonts w:ascii="宋体" w:hAnsi="宋体"/>
          <w:color w:val="000000"/>
          <w:sz w:val="21"/>
          <w:szCs w:val="21"/>
        </w:rPr>
        <w:t>……</w:t>
      </w:r>
      <w:r>
        <w:rPr>
          <w:rFonts w:hint="eastAsia" w:ascii="宋体" w:hAnsi="宋体"/>
          <w:color w:val="000000"/>
          <w:sz w:val="21"/>
          <w:szCs w:val="21"/>
        </w:rPr>
        <w:t>执行”。</w:t>
      </w: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p>
      <w:pPr>
        <w:pStyle w:val="64"/>
        <w:ind w:firstLine="420"/>
        <w:rPr>
          <w:rFonts w:ascii="宋体" w:hAnsi="宋体"/>
          <w:color w:val="000000"/>
          <w:sz w:val="21"/>
          <w:szCs w:val="21"/>
        </w:rPr>
      </w:pPr>
    </w:p>
    <w:sectPr>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439760"/>
      <w:docPartObj>
        <w:docPartGallery w:val="autotext"/>
      </w:docPartObj>
    </w:sdtPr>
    <w:sdtContent>
      <w:p>
        <w:pPr>
          <w:pStyle w:val="18"/>
          <w:jc w:val="center"/>
        </w:pPr>
        <w:r>
          <w:fldChar w:fldCharType="begin"/>
        </w:r>
        <w:r>
          <w:instrText xml:space="preserve"> PAGE   \* MERGEFORMAT </w:instrText>
        </w:r>
        <w:r>
          <w:fldChar w:fldCharType="separate"/>
        </w:r>
        <w:r>
          <w:rPr>
            <w:lang w:val="zh-CN"/>
          </w:rPr>
          <w:t>17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hangingChars="200"/>
      </w:pPr>
      <w:rPr>
        <w:rFonts w:hint="default" w:ascii="Wingdings" w:hAnsi="Wingdings"/>
      </w:rPr>
    </w:lvl>
  </w:abstractNum>
  <w:abstractNum w:abstractNumId="1">
    <w:nsid w:val="10F64F72"/>
    <w:multiLevelType w:val="multilevel"/>
    <w:tmpl w:val="10F64F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5A227B7"/>
    <w:multiLevelType w:val="multilevel"/>
    <w:tmpl w:val="15A227B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E291580"/>
    <w:multiLevelType w:val="multilevel"/>
    <w:tmpl w:val="2E2915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BD2DF1"/>
    <w:multiLevelType w:val="multilevel"/>
    <w:tmpl w:val="32BD2DF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A254F89"/>
    <w:multiLevelType w:val="multilevel"/>
    <w:tmpl w:val="3A254F89"/>
    <w:lvl w:ilvl="0" w:tentative="0">
      <w:start w:val="4"/>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4AA31905"/>
    <w:multiLevelType w:val="multilevel"/>
    <w:tmpl w:val="4AA31905"/>
    <w:lvl w:ilvl="0" w:tentative="0">
      <w:start w:val="1"/>
      <w:numFmt w:val="lowerLetter"/>
      <w:suff w:val="space"/>
      <w:lvlText w:val="%1)"/>
      <w:lvlJc w:val="left"/>
      <w:pPr>
        <w:ind w:left="0" w:firstLine="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68A7BF5"/>
    <w:multiLevelType w:val="multilevel"/>
    <w:tmpl w:val="668A7BF5"/>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4C38D3"/>
    <w:rsid w:val="00000715"/>
    <w:rsid w:val="00000A7C"/>
    <w:rsid w:val="000023E6"/>
    <w:rsid w:val="00003E02"/>
    <w:rsid w:val="00004E80"/>
    <w:rsid w:val="00005D33"/>
    <w:rsid w:val="0000676E"/>
    <w:rsid w:val="000067B3"/>
    <w:rsid w:val="00006A4C"/>
    <w:rsid w:val="00006D5E"/>
    <w:rsid w:val="0000774A"/>
    <w:rsid w:val="00007797"/>
    <w:rsid w:val="00007AFF"/>
    <w:rsid w:val="00007C4B"/>
    <w:rsid w:val="00007E93"/>
    <w:rsid w:val="00010007"/>
    <w:rsid w:val="0001046C"/>
    <w:rsid w:val="000107E3"/>
    <w:rsid w:val="0001125D"/>
    <w:rsid w:val="00011AB3"/>
    <w:rsid w:val="000120E3"/>
    <w:rsid w:val="00012D37"/>
    <w:rsid w:val="0001381E"/>
    <w:rsid w:val="00014C02"/>
    <w:rsid w:val="00014C06"/>
    <w:rsid w:val="000156BE"/>
    <w:rsid w:val="00015ED9"/>
    <w:rsid w:val="000161CA"/>
    <w:rsid w:val="00016364"/>
    <w:rsid w:val="000165FE"/>
    <w:rsid w:val="00016CFB"/>
    <w:rsid w:val="000201E4"/>
    <w:rsid w:val="0002049B"/>
    <w:rsid w:val="000208E0"/>
    <w:rsid w:val="00020FEF"/>
    <w:rsid w:val="000211B2"/>
    <w:rsid w:val="000219AA"/>
    <w:rsid w:val="00021A5D"/>
    <w:rsid w:val="0002553C"/>
    <w:rsid w:val="000255B7"/>
    <w:rsid w:val="000256B1"/>
    <w:rsid w:val="00025E26"/>
    <w:rsid w:val="00025EA8"/>
    <w:rsid w:val="0002757A"/>
    <w:rsid w:val="000278C2"/>
    <w:rsid w:val="00027C21"/>
    <w:rsid w:val="00030065"/>
    <w:rsid w:val="000300E7"/>
    <w:rsid w:val="000306CF"/>
    <w:rsid w:val="0003082F"/>
    <w:rsid w:val="00030BF4"/>
    <w:rsid w:val="00031FA0"/>
    <w:rsid w:val="0003211D"/>
    <w:rsid w:val="0003285C"/>
    <w:rsid w:val="00032DD9"/>
    <w:rsid w:val="00032E0B"/>
    <w:rsid w:val="000338D7"/>
    <w:rsid w:val="000349FC"/>
    <w:rsid w:val="00034E6F"/>
    <w:rsid w:val="000354CD"/>
    <w:rsid w:val="0003556B"/>
    <w:rsid w:val="000358AB"/>
    <w:rsid w:val="000358FF"/>
    <w:rsid w:val="000359D1"/>
    <w:rsid w:val="00035AF8"/>
    <w:rsid w:val="00036BCD"/>
    <w:rsid w:val="00037337"/>
    <w:rsid w:val="0004053F"/>
    <w:rsid w:val="000408C5"/>
    <w:rsid w:val="00040E71"/>
    <w:rsid w:val="00041692"/>
    <w:rsid w:val="0004255A"/>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501DC"/>
    <w:rsid w:val="00051765"/>
    <w:rsid w:val="000523C8"/>
    <w:rsid w:val="0005328D"/>
    <w:rsid w:val="0005419B"/>
    <w:rsid w:val="000546B8"/>
    <w:rsid w:val="00055E0D"/>
    <w:rsid w:val="00055EC9"/>
    <w:rsid w:val="0005626A"/>
    <w:rsid w:val="00056768"/>
    <w:rsid w:val="000568C4"/>
    <w:rsid w:val="00056AE2"/>
    <w:rsid w:val="00056EE9"/>
    <w:rsid w:val="00057E72"/>
    <w:rsid w:val="00060176"/>
    <w:rsid w:val="000606C8"/>
    <w:rsid w:val="000606CC"/>
    <w:rsid w:val="00060E2B"/>
    <w:rsid w:val="000618DB"/>
    <w:rsid w:val="0006249A"/>
    <w:rsid w:val="0006279F"/>
    <w:rsid w:val="00062FCA"/>
    <w:rsid w:val="000633DB"/>
    <w:rsid w:val="0006390D"/>
    <w:rsid w:val="00063DBC"/>
    <w:rsid w:val="00063EC6"/>
    <w:rsid w:val="00064808"/>
    <w:rsid w:val="000648C3"/>
    <w:rsid w:val="00064A4C"/>
    <w:rsid w:val="00064F21"/>
    <w:rsid w:val="00065450"/>
    <w:rsid w:val="00065950"/>
    <w:rsid w:val="00065F2D"/>
    <w:rsid w:val="000670E5"/>
    <w:rsid w:val="0006750D"/>
    <w:rsid w:val="00067E65"/>
    <w:rsid w:val="0007004E"/>
    <w:rsid w:val="00070120"/>
    <w:rsid w:val="000704B1"/>
    <w:rsid w:val="000708DE"/>
    <w:rsid w:val="0007098F"/>
    <w:rsid w:val="00070B47"/>
    <w:rsid w:val="0007140D"/>
    <w:rsid w:val="00071665"/>
    <w:rsid w:val="00071CA1"/>
    <w:rsid w:val="00071CEC"/>
    <w:rsid w:val="00072043"/>
    <w:rsid w:val="00072A3B"/>
    <w:rsid w:val="00072DAA"/>
    <w:rsid w:val="00072F63"/>
    <w:rsid w:val="00073575"/>
    <w:rsid w:val="00073DB2"/>
    <w:rsid w:val="00074074"/>
    <w:rsid w:val="00074192"/>
    <w:rsid w:val="00074219"/>
    <w:rsid w:val="000748DB"/>
    <w:rsid w:val="0007507A"/>
    <w:rsid w:val="00076243"/>
    <w:rsid w:val="000777FC"/>
    <w:rsid w:val="00077833"/>
    <w:rsid w:val="000801D3"/>
    <w:rsid w:val="00080284"/>
    <w:rsid w:val="0008081E"/>
    <w:rsid w:val="000808E3"/>
    <w:rsid w:val="00080938"/>
    <w:rsid w:val="00081019"/>
    <w:rsid w:val="0008203D"/>
    <w:rsid w:val="000821FB"/>
    <w:rsid w:val="000834DE"/>
    <w:rsid w:val="000839A6"/>
    <w:rsid w:val="00083EAE"/>
    <w:rsid w:val="000842A6"/>
    <w:rsid w:val="0008430B"/>
    <w:rsid w:val="00084361"/>
    <w:rsid w:val="00085E41"/>
    <w:rsid w:val="00086AFF"/>
    <w:rsid w:val="00086F0F"/>
    <w:rsid w:val="00087147"/>
    <w:rsid w:val="00087510"/>
    <w:rsid w:val="000878FD"/>
    <w:rsid w:val="00087900"/>
    <w:rsid w:val="00087D13"/>
    <w:rsid w:val="00090CA7"/>
    <w:rsid w:val="00091960"/>
    <w:rsid w:val="0009236E"/>
    <w:rsid w:val="000927F0"/>
    <w:rsid w:val="00092C9E"/>
    <w:rsid w:val="00092D0D"/>
    <w:rsid w:val="00092FC8"/>
    <w:rsid w:val="0009386E"/>
    <w:rsid w:val="00093E60"/>
    <w:rsid w:val="00094006"/>
    <w:rsid w:val="00094281"/>
    <w:rsid w:val="00094796"/>
    <w:rsid w:val="000955F8"/>
    <w:rsid w:val="000957B6"/>
    <w:rsid w:val="0009595A"/>
    <w:rsid w:val="00095F08"/>
    <w:rsid w:val="00095FA7"/>
    <w:rsid w:val="0009605E"/>
    <w:rsid w:val="0009617B"/>
    <w:rsid w:val="00096370"/>
    <w:rsid w:val="000976EA"/>
    <w:rsid w:val="00097AED"/>
    <w:rsid w:val="00097DC8"/>
    <w:rsid w:val="00097F18"/>
    <w:rsid w:val="000A0382"/>
    <w:rsid w:val="000A050F"/>
    <w:rsid w:val="000A093F"/>
    <w:rsid w:val="000A11F1"/>
    <w:rsid w:val="000A13AC"/>
    <w:rsid w:val="000A2491"/>
    <w:rsid w:val="000A34D9"/>
    <w:rsid w:val="000A3585"/>
    <w:rsid w:val="000A3B1A"/>
    <w:rsid w:val="000A4390"/>
    <w:rsid w:val="000A4639"/>
    <w:rsid w:val="000A51B2"/>
    <w:rsid w:val="000A5255"/>
    <w:rsid w:val="000A6528"/>
    <w:rsid w:val="000A68B0"/>
    <w:rsid w:val="000A6E6C"/>
    <w:rsid w:val="000A7F09"/>
    <w:rsid w:val="000B0349"/>
    <w:rsid w:val="000B0A93"/>
    <w:rsid w:val="000B1553"/>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480"/>
    <w:rsid w:val="000B78A3"/>
    <w:rsid w:val="000B7C71"/>
    <w:rsid w:val="000B7D28"/>
    <w:rsid w:val="000B7DF0"/>
    <w:rsid w:val="000C00BB"/>
    <w:rsid w:val="000C0270"/>
    <w:rsid w:val="000C0325"/>
    <w:rsid w:val="000C04BD"/>
    <w:rsid w:val="000C0984"/>
    <w:rsid w:val="000C10EC"/>
    <w:rsid w:val="000C1945"/>
    <w:rsid w:val="000C1AAA"/>
    <w:rsid w:val="000C1F79"/>
    <w:rsid w:val="000C213D"/>
    <w:rsid w:val="000C22C5"/>
    <w:rsid w:val="000C3112"/>
    <w:rsid w:val="000C40D4"/>
    <w:rsid w:val="000C416F"/>
    <w:rsid w:val="000C4287"/>
    <w:rsid w:val="000C4303"/>
    <w:rsid w:val="000C43A9"/>
    <w:rsid w:val="000C475A"/>
    <w:rsid w:val="000C4918"/>
    <w:rsid w:val="000C4F6C"/>
    <w:rsid w:val="000C4FBB"/>
    <w:rsid w:val="000C528A"/>
    <w:rsid w:val="000C5421"/>
    <w:rsid w:val="000C56A6"/>
    <w:rsid w:val="000C58B9"/>
    <w:rsid w:val="000C5EF2"/>
    <w:rsid w:val="000C625E"/>
    <w:rsid w:val="000C68F0"/>
    <w:rsid w:val="000C69C7"/>
    <w:rsid w:val="000C6C63"/>
    <w:rsid w:val="000C7366"/>
    <w:rsid w:val="000C7FC6"/>
    <w:rsid w:val="000D025B"/>
    <w:rsid w:val="000D02CF"/>
    <w:rsid w:val="000D0749"/>
    <w:rsid w:val="000D1323"/>
    <w:rsid w:val="000D1D72"/>
    <w:rsid w:val="000D1F0E"/>
    <w:rsid w:val="000D2331"/>
    <w:rsid w:val="000D3663"/>
    <w:rsid w:val="000D3C01"/>
    <w:rsid w:val="000D40CE"/>
    <w:rsid w:val="000D44A2"/>
    <w:rsid w:val="000D4DBE"/>
    <w:rsid w:val="000D5058"/>
    <w:rsid w:val="000D50D3"/>
    <w:rsid w:val="000D5D04"/>
    <w:rsid w:val="000D63AD"/>
    <w:rsid w:val="000D6D62"/>
    <w:rsid w:val="000D6DE2"/>
    <w:rsid w:val="000D7389"/>
    <w:rsid w:val="000D7CB0"/>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9A"/>
    <w:rsid w:val="000E43BA"/>
    <w:rsid w:val="000E48CC"/>
    <w:rsid w:val="000E580D"/>
    <w:rsid w:val="000E5B60"/>
    <w:rsid w:val="000E631C"/>
    <w:rsid w:val="000E63D3"/>
    <w:rsid w:val="000E69AF"/>
    <w:rsid w:val="000E6E8E"/>
    <w:rsid w:val="000E7552"/>
    <w:rsid w:val="000E75B2"/>
    <w:rsid w:val="000E77E0"/>
    <w:rsid w:val="000E7869"/>
    <w:rsid w:val="000F016E"/>
    <w:rsid w:val="000F0199"/>
    <w:rsid w:val="000F0B98"/>
    <w:rsid w:val="000F0DFB"/>
    <w:rsid w:val="000F10A1"/>
    <w:rsid w:val="000F1AD0"/>
    <w:rsid w:val="000F2831"/>
    <w:rsid w:val="000F3667"/>
    <w:rsid w:val="000F3ACF"/>
    <w:rsid w:val="000F3B6C"/>
    <w:rsid w:val="000F3E09"/>
    <w:rsid w:val="000F44D5"/>
    <w:rsid w:val="000F52D1"/>
    <w:rsid w:val="000F5526"/>
    <w:rsid w:val="000F5720"/>
    <w:rsid w:val="000F59BA"/>
    <w:rsid w:val="000F5D0F"/>
    <w:rsid w:val="000F7633"/>
    <w:rsid w:val="000F7814"/>
    <w:rsid w:val="000F7DD1"/>
    <w:rsid w:val="000F7F1D"/>
    <w:rsid w:val="00100085"/>
    <w:rsid w:val="001002AB"/>
    <w:rsid w:val="001003AA"/>
    <w:rsid w:val="001004DC"/>
    <w:rsid w:val="00100F51"/>
    <w:rsid w:val="0010316C"/>
    <w:rsid w:val="00103A79"/>
    <w:rsid w:val="00103E48"/>
    <w:rsid w:val="00103F24"/>
    <w:rsid w:val="001040CA"/>
    <w:rsid w:val="00105814"/>
    <w:rsid w:val="00106397"/>
    <w:rsid w:val="00106EDB"/>
    <w:rsid w:val="0010720F"/>
    <w:rsid w:val="001078B9"/>
    <w:rsid w:val="00107CC3"/>
    <w:rsid w:val="00110176"/>
    <w:rsid w:val="0011087B"/>
    <w:rsid w:val="00110FCF"/>
    <w:rsid w:val="00111FAD"/>
    <w:rsid w:val="00112B0C"/>
    <w:rsid w:val="0011318D"/>
    <w:rsid w:val="00113E48"/>
    <w:rsid w:val="00114684"/>
    <w:rsid w:val="0011580D"/>
    <w:rsid w:val="00116A28"/>
    <w:rsid w:val="00116B94"/>
    <w:rsid w:val="00116DE1"/>
    <w:rsid w:val="00117208"/>
    <w:rsid w:val="0011781F"/>
    <w:rsid w:val="0011796D"/>
    <w:rsid w:val="0012012D"/>
    <w:rsid w:val="0012096A"/>
    <w:rsid w:val="001209AE"/>
    <w:rsid w:val="001214C5"/>
    <w:rsid w:val="00121BB5"/>
    <w:rsid w:val="00121E57"/>
    <w:rsid w:val="0012271A"/>
    <w:rsid w:val="001231E0"/>
    <w:rsid w:val="00124A4F"/>
    <w:rsid w:val="00124CCC"/>
    <w:rsid w:val="00124D4A"/>
    <w:rsid w:val="00125031"/>
    <w:rsid w:val="00125182"/>
    <w:rsid w:val="00125215"/>
    <w:rsid w:val="00125B24"/>
    <w:rsid w:val="00125CFC"/>
    <w:rsid w:val="00126415"/>
    <w:rsid w:val="001264B4"/>
    <w:rsid w:val="001271B9"/>
    <w:rsid w:val="001274D1"/>
    <w:rsid w:val="001301E2"/>
    <w:rsid w:val="00130B4A"/>
    <w:rsid w:val="001316AA"/>
    <w:rsid w:val="00131A8E"/>
    <w:rsid w:val="00131F84"/>
    <w:rsid w:val="001322B2"/>
    <w:rsid w:val="00132675"/>
    <w:rsid w:val="001327FA"/>
    <w:rsid w:val="00132DEC"/>
    <w:rsid w:val="00133745"/>
    <w:rsid w:val="001339A9"/>
    <w:rsid w:val="00134E6E"/>
    <w:rsid w:val="00135742"/>
    <w:rsid w:val="0013588B"/>
    <w:rsid w:val="00135F47"/>
    <w:rsid w:val="00135FD8"/>
    <w:rsid w:val="001364E1"/>
    <w:rsid w:val="0013681E"/>
    <w:rsid w:val="00136FD0"/>
    <w:rsid w:val="00137706"/>
    <w:rsid w:val="00137F98"/>
    <w:rsid w:val="00140248"/>
    <w:rsid w:val="001404B3"/>
    <w:rsid w:val="00140735"/>
    <w:rsid w:val="00140AF1"/>
    <w:rsid w:val="00140E4C"/>
    <w:rsid w:val="0014171B"/>
    <w:rsid w:val="001419CB"/>
    <w:rsid w:val="001419E5"/>
    <w:rsid w:val="00141AD2"/>
    <w:rsid w:val="0014224D"/>
    <w:rsid w:val="0014271D"/>
    <w:rsid w:val="00142736"/>
    <w:rsid w:val="001430F2"/>
    <w:rsid w:val="0014350B"/>
    <w:rsid w:val="0014358C"/>
    <w:rsid w:val="00143E64"/>
    <w:rsid w:val="00143FE2"/>
    <w:rsid w:val="0014444A"/>
    <w:rsid w:val="001458BB"/>
    <w:rsid w:val="00145BAD"/>
    <w:rsid w:val="00146AC9"/>
    <w:rsid w:val="001470B8"/>
    <w:rsid w:val="001473A8"/>
    <w:rsid w:val="00147926"/>
    <w:rsid w:val="00147F7E"/>
    <w:rsid w:val="00150290"/>
    <w:rsid w:val="00150BC2"/>
    <w:rsid w:val="00150FD8"/>
    <w:rsid w:val="00151695"/>
    <w:rsid w:val="00151C9B"/>
    <w:rsid w:val="00151E09"/>
    <w:rsid w:val="00152DD6"/>
    <w:rsid w:val="00152F17"/>
    <w:rsid w:val="00153A4B"/>
    <w:rsid w:val="00153E86"/>
    <w:rsid w:val="001540EE"/>
    <w:rsid w:val="00154456"/>
    <w:rsid w:val="001545AD"/>
    <w:rsid w:val="00155572"/>
    <w:rsid w:val="0015589E"/>
    <w:rsid w:val="00155A6C"/>
    <w:rsid w:val="00155B71"/>
    <w:rsid w:val="00156DD6"/>
    <w:rsid w:val="00157077"/>
    <w:rsid w:val="00157471"/>
    <w:rsid w:val="00157AB6"/>
    <w:rsid w:val="00157BF2"/>
    <w:rsid w:val="00157C61"/>
    <w:rsid w:val="00160409"/>
    <w:rsid w:val="001606C5"/>
    <w:rsid w:val="0016155F"/>
    <w:rsid w:val="00162F89"/>
    <w:rsid w:val="00163580"/>
    <w:rsid w:val="00163A46"/>
    <w:rsid w:val="00163AB1"/>
    <w:rsid w:val="001647E6"/>
    <w:rsid w:val="00164EEF"/>
    <w:rsid w:val="00165260"/>
    <w:rsid w:val="001654E7"/>
    <w:rsid w:val="0016589A"/>
    <w:rsid w:val="00165BFA"/>
    <w:rsid w:val="00165D5F"/>
    <w:rsid w:val="00166A2A"/>
    <w:rsid w:val="00166BEF"/>
    <w:rsid w:val="00167491"/>
    <w:rsid w:val="00170419"/>
    <w:rsid w:val="0017048B"/>
    <w:rsid w:val="00171507"/>
    <w:rsid w:val="001739CC"/>
    <w:rsid w:val="00173A65"/>
    <w:rsid w:val="00173CFA"/>
    <w:rsid w:val="0017453E"/>
    <w:rsid w:val="00174670"/>
    <w:rsid w:val="00174966"/>
    <w:rsid w:val="00174FEE"/>
    <w:rsid w:val="001750CF"/>
    <w:rsid w:val="001752DD"/>
    <w:rsid w:val="00176388"/>
    <w:rsid w:val="001765D4"/>
    <w:rsid w:val="001775F4"/>
    <w:rsid w:val="0017794B"/>
    <w:rsid w:val="00177F8C"/>
    <w:rsid w:val="00180258"/>
    <w:rsid w:val="00180563"/>
    <w:rsid w:val="00180697"/>
    <w:rsid w:val="00180890"/>
    <w:rsid w:val="00180EB5"/>
    <w:rsid w:val="00181ADF"/>
    <w:rsid w:val="001820D3"/>
    <w:rsid w:val="00182473"/>
    <w:rsid w:val="0018271C"/>
    <w:rsid w:val="001827CF"/>
    <w:rsid w:val="00182DF0"/>
    <w:rsid w:val="00182E7D"/>
    <w:rsid w:val="001832D5"/>
    <w:rsid w:val="001833F4"/>
    <w:rsid w:val="001834A3"/>
    <w:rsid w:val="00183534"/>
    <w:rsid w:val="0018379D"/>
    <w:rsid w:val="0018463B"/>
    <w:rsid w:val="001849B2"/>
    <w:rsid w:val="00184DB5"/>
    <w:rsid w:val="001856DA"/>
    <w:rsid w:val="00186491"/>
    <w:rsid w:val="00186728"/>
    <w:rsid w:val="0018740C"/>
    <w:rsid w:val="00187E47"/>
    <w:rsid w:val="001900C9"/>
    <w:rsid w:val="00190154"/>
    <w:rsid w:val="001909D8"/>
    <w:rsid w:val="00190D55"/>
    <w:rsid w:val="00192A2A"/>
    <w:rsid w:val="00192C62"/>
    <w:rsid w:val="00192DED"/>
    <w:rsid w:val="001930FC"/>
    <w:rsid w:val="0019368C"/>
    <w:rsid w:val="00193806"/>
    <w:rsid w:val="00194075"/>
    <w:rsid w:val="001943C5"/>
    <w:rsid w:val="0019445D"/>
    <w:rsid w:val="001954ED"/>
    <w:rsid w:val="00196027"/>
    <w:rsid w:val="00196776"/>
    <w:rsid w:val="00196AE9"/>
    <w:rsid w:val="00196BAF"/>
    <w:rsid w:val="00197089"/>
    <w:rsid w:val="001A02CA"/>
    <w:rsid w:val="001A0C17"/>
    <w:rsid w:val="001A0DE9"/>
    <w:rsid w:val="001A12EE"/>
    <w:rsid w:val="001A198A"/>
    <w:rsid w:val="001A1B18"/>
    <w:rsid w:val="001A1DBF"/>
    <w:rsid w:val="001A2099"/>
    <w:rsid w:val="001A29F2"/>
    <w:rsid w:val="001A2B3A"/>
    <w:rsid w:val="001A2C72"/>
    <w:rsid w:val="001A2EBB"/>
    <w:rsid w:val="001A3ACC"/>
    <w:rsid w:val="001A4807"/>
    <w:rsid w:val="001A5C57"/>
    <w:rsid w:val="001A5EAB"/>
    <w:rsid w:val="001A6F62"/>
    <w:rsid w:val="001A72EE"/>
    <w:rsid w:val="001A74A6"/>
    <w:rsid w:val="001A74E5"/>
    <w:rsid w:val="001A7663"/>
    <w:rsid w:val="001A793A"/>
    <w:rsid w:val="001A7C69"/>
    <w:rsid w:val="001A7E21"/>
    <w:rsid w:val="001A7EC3"/>
    <w:rsid w:val="001B01A1"/>
    <w:rsid w:val="001B026E"/>
    <w:rsid w:val="001B048D"/>
    <w:rsid w:val="001B0B6F"/>
    <w:rsid w:val="001B1C69"/>
    <w:rsid w:val="001B1E6F"/>
    <w:rsid w:val="001B2093"/>
    <w:rsid w:val="001B215A"/>
    <w:rsid w:val="001B2397"/>
    <w:rsid w:val="001B244E"/>
    <w:rsid w:val="001B2BFF"/>
    <w:rsid w:val="001B2DAD"/>
    <w:rsid w:val="001B30D1"/>
    <w:rsid w:val="001B3AA5"/>
    <w:rsid w:val="001B3FA2"/>
    <w:rsid w:val="001B42FD"/>
    <w:rsid w:val="001B470D"/>
    <w:rsid w:val="001B4837"/>
    <w:rsid w:val="001B5988"/>
    <w:rsid w:val="001B5B22"/>
    <w:rsid w:val="001B6396"/>
    <w:rsid w:val="001B660E"/>
    <w:rsid w:val="001B66F8"/>
    <w:rsid w:val="001B700C"/>
    <w:rsid w:val="001B7159"/>
    <w:rsid w:val="001B73EF"/>
    <w:rsid w:val="001B772A"/>
    <w:rsid w:val="001B7BB4"/>
    <w:rsid w:val="001C053A"/>
    <w:rsid w:val="001C05D2"/>
    <w:rsid w:val="001C1342"/>
    <w:rsid w:val="001C1B87"/>
    <w:rsid w:val="001C2EF6"/>
    <w:rsid w:val="001C2FD3"/>
    <w:rsid w:val="001C4212"/>
    <w:rsid w:val="001C464D"/>
    <w:rsid w:val="001C4B5E"/>
    <w:rsid w:val="001C5498"/>
    <w:rsid w:val="001C5796"/>
    <w:rsid w:val="001C75B1"/>
    <w:rsid w:val="001C7C62"/>
    <w:rsid w:val="001C7F59"/>
    <w:rsid w:val="001D0352"/>
    <w:rsid w:val="001D0368"/>
    <w:rsid w:val="001D0B5A"/>
    <w:rsid w:val="001D0DAF"/>
    <w:rsid w:val="001D10C4"/>
    <w:rsid w:val="001D14F7"/>
    <w:rsid w:val="001D1914"/>
    <w:rsid w:val="001D1948"/>
    <w:rsid w:val="001D2355"/>
    <w:rsid w:val="001D3541"/>
    <w:rsid w:val="001D35F1"/>
    <w:rsid w:val="001D3832"/>
    <w:rsid w:val="001D38A8"/>
    <w:rsid w:val="001D4DF9"/>
    <w:rsid w:val="001D5525"/>
    <w:rsid w:val="001D5749"/>
    <w:rsid w:val="001D67AD"/>
    <w:rsid w:val="001D68C1"/>
    <w:rsid w:val="001D6AEC"/>
    <w:rsid w:val="001D71D5"/>
    <w:rsid w:val="001D7B78"/>
    <w:rsid w:val="001D7CC3"/>
    <w:rsid w:val="001E0000"/>
    <w:rsid w:val="001E12BD"/>
    <w:rsid w:val="001E13A9"/>
    <w:rsid w:val="001E1D67"/>
    <w:rsid w:val="001E1F15"/>
    <w:rsid w:val="001E1F90"/>
    <w:rsid w:val="001E1FC3"/>
    <w:rsid w:val="001E20D1"/>
    <w:rsid w:val="001E22B6"/>
    <w:rsid w:val="001E2F45"/>
    <w:rsid w:val="001E3298"/>
    <w:rsid w:val="001E3D42"/>
    <w:rsid w:val="001E3E6F"/>
    <w:rsid w:val="001E3FFE"/>
    <w:rsid w:val="001E4DF8"/>
    <w:rsid w:val="001E5854"/>
    <w:rsid w:val="001E60D8"/>
    <w:rsid w:val="001E67F3"/>
    <w:rsid w:val="001E7DD4"/>
    <w:rsid w:val="001F057B"/>
    <w:rsid w:val="001F23C8"/>
    <w:rsid w:val="001F253F"/>
    <w:rsid w:val="001F41F3"/>
    <w:rsid w:val="001F421B"/>
    <w:rsid w:val="001F4422"/>
    <w:rsid w:val="001F4697"/>
    <w:rsid w:val="001F4C12"/>
    <w:rsid w:val="001F5584"/>
    <w:rsid w:val="001F591F"/>
    <w:rsid w:val="001F5D81"/>
    <w:rsid w:val="001F6064"/>
    <w:rsid w:val="001F76AC"/>
    <w:rsid w:val="002001BA"/>
    <w:rsid w:val="00200754"/>
    <w:rsid w:val="002014C2"/>
    <w:rsid w:val="0020189E"/>
    <w:rsid w:val="00201AE9"/>
    <w:rsid w:val="00201FBD"/>
    <w:rsid w:val="0020202A"/>
    <w:rsid w:val="00203207"/>
    <w:rsid w:val="00203BEC"/>
    <w:rsid w:val="002040FC"/>
    <w:rsid w:val="00204226"/>
    <w:rsid w:val="00204971"/>
    <w:rsid w:val="00204E9F"/>
    <w:rsid w:val="002050D4"/>
    <w:rsid w:val="0020550D"/>
    <w:rsid w:val="00206073"/>
    <w:rsid w:val="002068AE"/>
    <w:rsid w:val="0020692C"/>
    <w:rsid w:val="002101A0"/>
    <w:rsid w:val="002108B6"/>
    <w:rsid w:val="0021099D"/>
    <w:rsid w:val="00211476"/>
    <w:rsid w:val="002125E0"/>
    <w:rsid w:val="0021299A"/>
    <w:rsid w:val="00212B18"/>
    <w:rsid w:val="002148F6"/>
    <w:rsid w:val="00214E1B"/>
    <w:rsid w:val="00214FA4"/>
    <w:rsid w:val="002150E2"/>
    <w:rsid w:val="0021533C"/>
    <w:rsid w:val="002153C4"/>
    <w:rsid w:val="00215745"/>
    <w:rsid w:val="00215D93"/>
    <w:rsid w:val="00215EF4"/>
    <w:rsid w:val="0021614F"/>
    <w:rsid w:val="00220166"/>
    <w:rsid w:val="002202E7"/>
    <w:rsid w:val="00220A70"/>
    <w:rsid w:val="00220F27"/>
    <w:rsid w:val="0022167D"/>
    <w:rsid w:val="0022183B"/>
    <w:rsid w:val="00222B50"/>
    <w:rsid w:val="002234F5"/>
    <w:rsid w:val="0022383B"/>
    <w:rsid w:val="00223D2A"/>
    <w:rsid w:val="00223E91"/>
    <w:rsid w:val="002241DF"/>
    <w:rsid w:val="00224377"/>
    <w:rsid w:val="00224CDC"/>
    <w:rsid w:val="00225C66"/>
    <w:rsid w:val="0022705C"/>
    <w:rsid w:val="0022729F"/>
    <w:rsid w:val="00230A28"/>
    <w:rsid w:val="00230A3C"/>
    <w:rsid w:val="00230AA8"/>
    <w:rsid w:val="00230CEA"/>
    <w:rsid w:val="0023155B"/>
    <w:rsid w:val="00231D5E"/>
    <w:rsid w:val="00231F78"/>
    <w:rsid w:val="002326C6"/>
    <w:rsid w:val="00233029"/>
    <w:rsid w:val="002331D6"/>
    <w:rsid w:val="002332FB"/>
    <w:rsid w:val="00233423"/>
    <w:rsid w:val="00233B28"/>
    <w:rsid w:val="002344CD"/>
    <w:rsid w:val="00234AE0"/>
    <w:rsid w:val="00234B42"/>
    <w:rsid w:val="00235537"/>
    <w:rsid w:val="002358D6"/>
    <w:rsid w:val="00235B22"/>
    <w:rsid w:val="0023676B"/>
    <w:rsid w:val="00236F8A"/>
    <w:rsid w:val="002371C6"/>
    <w:rsid w:val="002371D5"/>
    <w:rsid w:val="002372B3"/>
    <w:rsid w:val="0023730A"/>
    <w:rsid w:val="002373FB"/>
    <w:rsid w:val="00240191"/>
    <w:rsid w:val="002404C4"/>
    <w:rsid w:val="002405F8"/>
    <w:rsid w:val="00241222"/>
    <w:rsid w:val="00241283"/>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04E"/>
    <w:rsid w:val="002509BF"/>
    <w:rsid w:val="00250AF8"/>
    <w:rsid w:val="00250DB8"/>
    <w:rsid w:val="0025132F"/>
    <w:rsid w:val="00251347"/>
    <w:rsid w:val="00251BC8"/>
    <w:rsid w:val="0025236E"/>
    <w:rsid w:val="00252451"/>
    <w:rsid w:val="00252C22"/>
    <w:rsid w:val="00252D7C"/>
    <w:rsid w:val="002547EA"/>
    <w:rsid w:val="00255234"/>
    <w:rsid w:val="002552B8"/>
    <w:rsid w:val="00255AA4"/>
    <w:rsid w:val="00256049"/>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7076"/>
    <w:rsid w:val="002670F9"/>
    <w:rsid w:val="002679E6"/>
    <w:rsid w:val="00267D41"/>
    <w:rsid w:val="00270EE6"/>
    <w:rsid w:val="00271031"/>
    <w:rsid w:val="00271AF5"/>
    <w:rsid w:val="00271BD4"/>
    <w:rsid w:val="00272455"/>
    <w:rsid w:val="00272D86"/>
    <w:rsid w:val="00273AE7"/>
    <w:rsid w:val="00273CF0"/>
    <w:rsid w:val="00273EED"/>
    <w:rsid w:val="00274177"/>
    <w:rsid w:val="00274231"/>
    <w:rsid w:val="002745F6"/>
    <w:rsid w:val="00275620"/>
    <w:rsid w:val="002758FC"/>
    <w:rsid w:val="00275A53"/>
    <w:rsid w:val="00275E48"/>
    <w:rsid w:val="00276D1D"/>
    <w:rsid w:val="00276D59"/>
    <w:rsid w:val="00277292"/>
    <w:rsid w:val="0027789E"/>
    <w:rsid w:val="002800FE"/>
    <w:rsid w:val="0028021D"/>
    <w:rsid w:val="002804DF"/>
    <w:rsid w:val="00280727"/>
    <w:rsid w:val="00280887"/>
    <w:rsid w:val="00280FA1"/>
    <w:rsid w:val="002810CA"/>
    <w:rsid w:val="002814CB"/>
    <w:rsid w:val="00281C6F"/>
    <w:rsid w:val="00281FF3"/>
    <w:rsid w:val="0028213B"/>
    <w:rsid w:val="0028227C"/>
    <w:rsid w:val="0028232A"/>
    <w:rsid w:val="00282F42"/>
    <w:rsid w:val="0028300F"/>
    <w:rsid w:val="00284322"/>
    <w:rsid w:val="002843E7"/>
    <w:rsid w:val="0028471B"/>
    <w:rsid w:val="00284A19"/>
    <w:rsid w:val="00285439"/>
    <w:rsid w:val="002856AA"/>
    <w:rsid w:val="002864E5"/>
    <w:rsid w:val="00286667"/>
    <w:rsid w:val="00286E4D"/>
    <w:rsid w:val="00286EAD"/>
    <w:rsid w:val="002870FF"/>
    <w:rsid w:val="0028738A"/>
    <w:rsid w:val="00287E5F"/>
    <w:rsid w:val="00290BCC"/>
    <w:rsid w:val="00290C36"/>
    <w:rsid w:val="002913B5"/>
    <w:rsid w:val="002924D9"/>
    <w:rsid w:val="00292A74"/>
    <w:rsid w:val="00292E12"/>
    <w:rsid w:val="00293446"/>
    <w:rsid w:val="00293721"/>
    <w:rsid w:val="0029494D"/>
    <w:rsid w:val="002949DD"/>
    <w:rsid w:val="00294B19"/>
    <w:rsid w:val="00294CDA"/>
    <w:rsid w:val="00295836"/>
    <w:rsid w:val="00295C17"/>
    <w:rsid w:val="00295E70"/>
    <w:rsid w:val="00296859"/>
    <w:rsid w:val="002969E5"/>
    <w:rsid w:val="00296FBF"/>
    <w:rsid w:val="002973FB"/>
    <w:rsid w:val="002974EC"/>
    <w:rsid w:val="002977F7"/>
    <w:rsid w:val="00297AB4"/>
    <w:rsid w:val="002A07E0"/>
    <w:rsid w:val="002A1424"/>
    <w:rsid w:val="002A150D"/>
    <w:rsid w:val="002A19DA"/>
    <w:rsid w:val="002A1A7D"/>
    <w:rsid w:val="002A1CF2"/>
    <w:rsid w:val="002A1DEB"/>
    <w:rsid w:val="002A1DEE"/>
    <w:rsid w:val="002A2645"/>
    <w:rsid w:val="002A3648"/>
    <w:rsid w:val="002A42FE"/>
    <w:rsid w:val="002A4E0E"/>
    <w:rsid w:val="002A4E81"/>
    <w:rsid w:val="002A5099"/>
    <w:rsid w:val="002A5365"/>
    <w:rsid w:val="002A53A8"/>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6AAD"/>
    <w:rsid w:val="002B78FC"/>
    <w:rsid w:val="002B79DC"/>
    <w:rsid w:val="002B7E13"/>
    <w:rsid w:val="002B7FEE"/>
    <w:rsid w:val="002C0A29"/>
    <w:rsid w:val="002C12E1"/>
    <w:rsid w:val="002C13A6"/>
    <w:rsid w:val="002C1549"/>
    <w:rsid w:val="002C2EDE"/>
    <w:rsid w:val="002C3CEC"/>
    <w:rsid w:val="002C3E17"/>
    <w:rsid w:val="002C5570"/>
    <w:rsid w:val="002C55B7"/>
    <w:rsid w:val="002C584F"/>
    <w:rsid w:val="002C6175"/>
    <w:rsid w:val="002C7362"/>
    <w:rsid w:val="002C7B46"/>
    <w:rsid w:val="002D10F8"/>
    <w:rsid w:val="002D2F1E"/>
    <w:rsid w:val="002D35FE"/>
    <w:rsid w:val="002D393F"/>
    <w:rsid w:val="002D507B"/>
    <w:rsid w:val="002D5860"/>
    <w:rsid w:val="002D5BB4"/>
    <w:rsid w:val="002D5C94"/>
    <w:rsid w:val="002D61C0"/>
    <w:rsid w:val="002D72DD"/>
    <w:rsid w:val="002D75A8"/>
    <w:rsid w:val="002D7D6E"/>
    <w:rsid w:val="002E0539"/>
    <w:rsid w:val="002E067B"/>
    <w:rsid w:val="002E0B59"/>
    <w:rsid w:val="002E0D2D"/>
    <w:rsid w:val="002E154A"/>
    <w:rsid w:val="002E1922"/>
    <w:rsid w:val="002E1F3C"/>
    <w:rsid w:val="002E2263"/>
    <w:rsid w:val="002E27EF"/>
    <w:rsid w:val="002E2C90"/>
    <w:rsid w:val="002E2E00"/>
    <w:rsid w:val="002E3FA9"/>
    <w:rsid w:val="002E403E"/>
    <w:rsid w:val="002E43C4"/>
    <w:rsid w:val="002E461D"/>
    <w:rsid w:val="002E4701"/>
    <w:rsid w:val="002E4A8C"/>
    <w:rsid w:val="002E4F83"/>
    <w:rsid w:val="002E571E"/>
    <w:rsid w:val="002E5F9A"/>
    <w:rsid w:val="002E6BC5"/>
    <w:rsid w:val="002E7379"/>
    <w:rsid w:val="002E73EC"/>
    <w:rsid w:val="002F0B22"/>
    <w:rsid w:val="002F129A"/>
    <w:rsid w:val="002F1A1E"/>
    <w:rsid w:val="002F1E92"/>
    <w:rsid w:val="002F1F12"/>
    <w:rsid w:val="002F2362"/>
    <w:rsid w:val="002F25D9"/>
    <w:rsid w:val="002F25E6"/>
    <w:rsid w:val="002F2813"/>
    <w:rsid w:val="002F3E69"/>
    <w:rsid w:val="002F4206"/>
    <w:rsid w:val="002F5583"/>
    <w:rsid w:val="002F5E59"/>
    <w:rsid w:val="002F5E5F"/>
    <w:rsid w:val="002F5ED4"/>
    <w:rsid w:val="002F60AA"/>
    <w:rsid w:val="002F6591"/>
    <w:rsid w:val="002F65AD"/>
    <w:rsid w:val="002F6C37"/>
    <w:rsid w:val="002F6D8F"/>
    <w:rsid w:val="002F6F26"/>
    <w:rsid w:val="002F736E"/>
    <w:rsid w:val="002F7ACE"/>
    <w:rsid w:val="003001B2"/>
    <w:rsid w:val="003009A9"/>
    <w:rsid w:val="003014F3"/>
    <w:rsid w:val="003019A3"/>
    <w:rsid w:val="00301AB0"/>
    <w:rsid w:val="00302A2E"/>
    <w:rsid w:val="00302D77"/>
    <w:rsid w:val="0030302E"/>
    <w:rsid w:val="00303391"/>
    <w:rsid w:val="003047F3"/>
    <w:rsid w:val="003048EC"/>
    <w:rsid w:val="0030538D"/>
    <w:rsid w:val="00305A12"/>
    <w:rsid w:val="00305D30"/>
    <w:rsid w:val="003061B6"/>
    <w:rsid w:val="003071D8"/>
    <w:rsid w:val="00307308"/>
    <w:rsid w:val="00307457"/>
    <w:rsid w:val="003109A2"/>
    <w:rsid w:val="00310E49"/>
    <w:rsid w:val="00311033"/>
    <w:rsid w:val="0031137F"/>
    <w:rsid w:val="00312063"/>
    <w:rsid w:val="0031266D"/>
    <w:rsid w:val="00312C0C"/>
    <w:rsid w:val="00312C20"/>
    <w:rsid w:val="00313218"/>
    <w:rsid w:val="00313788"/>
    <w:rsid w:val="00313A15"/>
    <w:rsid w:val="00313F32"/>
    <w:rsid w:val="00314903"/>
    <w:rsid w:val="00314965"/>
    <w:rsid w:val="00314A1A"/>
    <w:rsid w:val="003151BB"/>
    <w:rsid w:val="0031576E"/>
    <w:rsid w:val="003166FE"/>
    <w:rsid w:val="0031676D"/>
    <w:rsid w:val="003169A6"/>
    <w:rsid w:val="00317174"/>
    <w:rsid w:val="003174DA"/>
    <w:rsid w:val="0031787E"/>
    <w:rsid w:val="0032050C"/>
    <w:rsid w:val="0032060B"/>
    <w:rsid w:val="00320DDE"/>
    <w:rsid w:val="00320FCA"/>
    <w:rsid w:val="00321114"/>
    <w:rsid w:val="003212BD"/>
    <w:rsid w:val="0032177E"/>
    <w:rsid w:val="00321960"/>
    <w:rsid w:val="0032197B"/>
    <w:rsid w:val="00321A44"/>
    <w:rsid w:val="00321A7C"/>
    <w:rsid w:val="00321FCB"/>
    <w:rsid w:val="00322D25"/>
    <w:rsid w:val="00322E7E"/>
    <w:rsid w:val="003234F5"/>
    <w:rsid w:val="00323EB3"/>
    <w:rsid w:val="00323F79"/>
    <w:rsid w:val="0032417F"/>
    <w:rsid w:val="003251E3"/>
    <w:rsid w:val="003252C7"/>
    <w:rsid w:val="00325685"/>
    <w:rsid w:val="00325B76"/>
    <w:rsid w:val="00325F7E"/>
    <w:rsid w:val="00326CF2"/>
    <w:rsid w:val="00326DDA"/>
    <w:rsid w:val="00327AC4"/>
    <w:rsid w:val="00327F36"/>
    <w:rsid w:val="00330CAB"/>
    <w:rsid w:val="0033261B"/>
    <w:rsid w:val="00333750"/>
    <w:rsid w:val="00334066"/>
    <w:rsid w:val="0033443A"/>
    <w:rsid w:val="00334634"/>
    <w:rsid w:val="003356AB"/>
    <w:rsid w:val="00335740"/>
    <w:rsid w:val="00335AAF"/>
    <w:rsid w:val="00335B7F"/>
    <w:rsid w:val="00336923"/>
    <w:rsid w:val="0033735B"/>
    <w:rsid w:val="003415EF"/>
    <w:rsid w:val="00341A1E"/>
    <w:rsid w:val="003421D9"/>
    <w:rsid w:val="003427F6"/>
    <w:rsid w:val="00342EF6"/>
    <w:rsid w:val="00343283"/>
    <w:rsid w:val="003445A3"/>
    <w:rsid w:val="003447DD"/>
    <w:rsid w:val="00345B60"/>
    <w:rsid w:val="00346367"/>
    <w:rsid w:val="003463C3"/>
    <w:rsid w:val="003474E0"/>
    <w:rsid w:val="003506F2"/>
    <w:rsid w:val="00351120"/>
    <w:rsid w:val="0035122B"/>
    <w:rsid w:val="00351761"/>
    <w:rsid w:val="00351E49"/>
    <w:rsid w:val="00352113"/>
    <w:rsid w:val="0035238A"/>
    <w:rsid w:val="00352B6A"/>
    <w:rsid w:val="003557BA"/>
    <w:rsid w:val="00355847"/>
    <w:rsid w:val="003560A4"/>
    <w:rsid w:val="00356468"/>
    <w:rsid w:val="003564A1"/>
    <w:rsid w:val="00356FDA"/>
    <w:rsid w:val="003571D5"/>
    <w:rsid w:val="003571E6"/>
    <w:rsid w:val="0035720D"/>
    <w:rsid w:val="003574F0"/>
    <w:rsid w:val="003576BA"/>
    <w:rsid w:val="00357945"/>
    <w:rsid w:val="00360595"/>
    <w:rsid w:val="00361011"/>
    <w:rsid w:val="00361270"/>
    <w:rsid w:val="0036171A"/>
    <w:rsid w:val="003633E8"/>
    <w:rsid w:val="0036446D"/>
    <w:rsid w:val="00364AA4"/>
    <w:rsid w:val="00364BB0"/>
    <w:rsid w:val="00364C9E"/>
    <w:rsid w:val="00364EEE"/>
    <w:rsid w:val="00365ACA"/>
    <w:rsid w:val="00366646"/>
    <w:rsid w:val="00366CC3"/>
    <w:rsid w:val="0036731F"/>
    <w:rsid w:val="00367F03"/>
    <w:rsid w:val="00367F06"/>
    <w:rsid w:val="00370329"/>
    <w:rsid w:val="00370C34"/>
    <w:rsid w:val="00370EED"/>
    <w:rsid w:val="0037126F"/>
    <w:rsid w:val="003727A7"/>
    <w:rsid w:val="003728D8"/>
    <w:rsid w:val="00372BD7"/>
    <w:rsid w:val="00372D4C"/>
    <w:rsid w:val="0037321D"/>
    <w:rsid w:val="003734D4"/>
    <w:rsid w:val="0037374A"/>
    <w:rsid w:val="00373F31"/>
    <w:rsid w:val="003741B8"/>
    <w:rsid w:val="00374E80"/>
    <w:rsid w:val="00375CA2"/>
    <w:rsid w:val="0037614C"/>
    <w:rsid w:val="0037696D"/>
    <w:rsid w:val="00376C64"/>
    <w:rsid w:val="00377746"/>
    <w:rsid w:val="003778E8"/>
    <w:rsid w:val="00377957"/>
    <w:rsid w:val="00377EE1"/>
    <w:rsid w:val="00380DF9"/>
    <w:rsid w:val="003810D6"/>
    <w:rsid w:val="003813E3"/>
    <w:rsid w:val="003814EA"/>
    <w:rsid w:val="00381734"/>
    <w:rsid w:val="0038173B"/>
    <w:rsid w:val="00381A92"/>
    <w:rsid w:val="00381AD5"/>
    <w:rsid w:val="00382760"/>
    <w:rsid w:val="00382818"/>
    <w:rsid w:val="00382AAF"/>
    <w:rsid w:val="00382ADC"/>
    <w:rsid w:val="00382B4D"/>
    <w:rsid w:val="00382F90"/>
    <w:rsid w:val="00382FEA"/>
    <w:rsid w:val="00383157"/>
    <w:rsid w:val="00383E97"/>
    <w:rsid w:val="00384D84"/>
    <w:rsid w:val="00384F3E"/>
    <w:rsid w:val="00384FF7"/>
    <w:rsid w:val="00385AAB"/>
    <w:rsid w:val="003861DD"/>
    <w:rsid w:val="003862E5"/>
    <w:rsid w:val="0038674A"/>
    <w:rsid w:val="00386C33"/>
    <w:rsid w:val="003879BA"/>
    <w:rsid w:val="00387FE3"/>
    <w:rsid w:val="0039055C"/>
    <w:rsid w:val="00390782"/>
    <w:rsid w:val="003917AB"/>
    <w:rsid w:val="00392345"/>
    <w:rsid w:val="00392470"/>
    <w:rsid w:val="00392C05"/>
    <w:rsid w:val="003939D7"/>
    <w:rsid w:val="003946DA"/>
    <w:rsid w:val="003947CF"/>
    <w:rsid w:val="00394AF8"/>
    <w:rsid w:val="00394CF7"/>
    <w:rsid w:val="00394D13"/>
    <w:rsid w:val="00394D34"/>
    <w:rsid w:val="00395679"/>
    <w:rsid w:val="00395A82"/>
    <w:rsid w:val="0039618E"/>
    <w:rsid w:val="00396321"/>
    <w:rsid w:val="003973E1"/>
    <w:rsid w:val="00397B0F"/>
    <w:rsid w:val="00397E61"/>
    <w:rsid w:val="003A0418"/>
    <w:rsid w:val="003A09FC"/>
    <w:rsid w:val="003A0E16"/>
    <w:rsid w:val="003A1FE4"/>
    <w:rsid w:val="003A216F"/>
    <w:rsid w:val="003A2E86"/>
    <w:rsid w:val="003A3101"/>
    <w:rsid w:val="003A349D"/>
    <w:rsid w:val="003A3ED4"/>
    <w:rsid w:val="003A3EFC"/>
    <w:rsid w:val="003A42C3"/>
    <w:rsid w:val="003A4497"/>
    <w:rsid w:val="003A4746"/>
    <w:rsid w:val="003A6660"/>
    <w:rsid w:val="003A6A12"/>
    <w:rsid w:val="003A6DDF"/>
    <w:rsid w:val="003A7198"/>
    <w:rsid w:val="003A7248"/>
    <w:rsid w:val="003A72E2"/>
    <w:rsid w:val="003A7363"/>
    <w:rsid w:val="003A7695"/>
    <w:rsid w:val="003A7715"/>
    <w:rsid w:val="003A7D99"/>
    <w:rsid w:val="003A7FF5"/>
    <w:rsid w:val="003B0659"/>
    <w:rsid w:val="003B088B"/>
    <w:rsid w:val="003B12E6"/>
    <w:rsid w:val="003B1529"/>
    <w:rsid w:val="003B183F"/>
    <w:rsid w:val="003B1D35"/>
    <w:rsid w:val="003B2002"/>
    <w:rsid w:val="003B2AC0"/>
    <w:rsid w:val="003B2BEA"/>
    <w:rsid w:val="003B3105"/>
    <w:rsid w:val="003B3427"/>
    <w:rsid w:val="003B3B21"/>
    <w:rsid w:val="003B4046"/>
    <w:rsid w:val="003B4C53"/>
    <w:rsid w:val="003B508A"/>
    <w:rsid w:val="003B51F7"/>
    <w:rsid w:val="003B5618"/>
    <w:rsid w:val="003B5C3E"/>
    <w:rsid w:val="003B5FAE"/>
    <w:rsid w:val="003B6040"/>
    <w:rsid w:val="003B625A"/>
    <w:rsid w:val="003B6694"/>
    <w:rsid w:val="003B6B59"/>
    <w:rsid w:val="003B704C"/>
    <w:rsid w:val="003B70AE"/>
    <w:rsid w:val="003B74BB"/>
    <w:rsid w:val="003B77D3"/>
    <w:rsid w:val="003B7AEB"/>
    <w:rsid w:val="003B7E38"/>
    <w:rsid w:val="003C02A0"/>
    <w:rsid w:val="003C0647"/>
    <w:rsid w:val="003C202F"/>
    <w:rsid w:val="003C3305"/>
    <w:rsid w:val="003C36AF"/>
    <w:rsid w:val="003C38AB"/>
    <w:rsid w:val="003C3BD5"/>
    <w:rsid w:val="003C4032"/>
    <w:rsid w:val="003C4375"/>
    <w:rsid w:val="003C477C"/>
    <w:rsid w:val="003C4ADB"/>
    <w:rsid w:val="003C4D8D"/>
    <w:rsid w:val="003C51A2"/>
    <w:rsid w:val="003C5862"/>
    <w:rsid w:val="003C64BF"/>
    <w:rsid w:val="003C670A"/>
    <w:rsid w:val="003C6FEB"/>
    <w:rsid w:val="003C7367"/>
    <w:rsid w:val="003C7ACC"/>
    <w:rsid w:val="003C7C67"/>
    <w:rsid w:val="003D02E3"/>
    <w:rsid w:val="003D03B7"/>
    <w:rsid w:val="003D05B6"/>
    <w:rsid w:val="003D09F3"/>
    <w:rsid w:val="003D0B96"/>
    <w:rsid w:val="003D1AD9"/>
    <w:rsid w:val="003D1BD9"/>
    <w:rsid w:val="003D1EEF"/>
    <w:rsid w:val="003D21D7"/>
    <w:rsid w:val="003D233A"/>
    <w:rsid w:val="003D2700"/>
    <w:rsid w:val="003D2A87"/>
    <w:rsid w:val="003D2B4E"/>
    <w:rsid w:val="003D380B"/>
    <w:rsid w:val="003D39F5"/>
    <w:rsid w:val="003D3AA7"/>
    <w:rsid w:val="003D403D"/>
    <w:rsid w:val="003D41D4"/>
    <w:rsid w:val="003D5719"/>
    <w:rsid w:val="003D5A87"/>
    <w:rsid w:val="003D5C0F"/>
    <w:rsid w:val="003D6162"/>
    <w:rsid w:val="003D6696"/>
    <w:rsid w:val="003D71CA"/>
    <w:rsid w:val="003D720B"/>
    <w:rsid w:val="003D779D"/>
    <w:rsid w:val="003D79D1"/>
    <w:rsid w:val="003D7C3F"/>
    <w:rsid w:val="003E0501"/>
    <w:rsid w:val="003E1AF6"/>
    <w:rsid w:val="003E2C77"/>
    <w:rsid w:val="003E2E3E"/>
    <w:rsid w:val="003E3A14"/>
    <w:rsid w:val="003E41DB"/>
    <w:rsid w:val="003E420F"/>
    <w:rsid w:val="003E426C"/>
    <w:rsid w:val="003E4551"/>
    <w:rsid w:val="003E4659"/>
    <w:rsid w:val="003E4B4C"/>
    <w:rsid w:val="003E578C"/>
    <w:rsid w:val="003E5AF0"/>
    <w:rsid w:val="003E62B3"/>
    <w:rsid w:val="003E6620"/>
    <w:rsid w:val="003E70A8"/>
    <w:rsid w:val="003E7512"/>
    <w:rsid w:val="003E756E"/>
    <w:rsid w:val="003E777F"/>
    <w:rsid w:val="003F0330"/>
    <w:rsid w:val="003F1D42"/>
    <w:rsid w:val="003F21C7"/>
    <w:rsid w:val="003F23F4"/>
    <w:rsid w:val="003F2EA4"/>
    <w:rsid w:val="003F2F1D"/>
    <w:rsid w:val="003F2FBA"/>
    <w:rsid w:val="003F3265"/>
    <w:rsid w:val="003F35A9"/>
    <w:rsid w:val="003F38A7"/>
    <w:rsid w:val="003F3CC5"/>
    <w:rsid w:val="003F4B43"/>
    <w:rsid w:val="003F4B48"/>
    <w:rsid w:val="003F6235"/>
    <w:rsid w:val="003F6D0C"/>
    <w:rsid w:val="003F6FF9"/>
    <w:rsid w:val="00400714"/>
    <w:rsid w:val="00400D06"/>
    <w:rsid w:val="00400F0F"/>
    <w:rsid w:val="004010EB"/>
    <w:rsid w:val="004012C2"/>
    <w:rsid w:val="004018F1"/>
    <w:rsid w:val="00401BF4"/>
    <w:rsid w:val="00403131"/>
    <w:rsid w:val="004033B7"/>
    <w:rsid w:val="00404610"/>
    <w:rsid w:val="0040473C"/>
    <w:rsid w:val="00404AE8"/>
    <w:rsid w:val="00404C0A"/>
    <w:rsid w:val="0040516D"/>
    <w:rsid w:val="004053FE"/>
    <w:rsid w:val="0040571C"/>
    <w:rsid w:val="0040647C"/>
    <w:rsid w:val="0040734B"/>
    <w:rsid w:val="00407697"/>
    <w:rsid w:val="00407A71"/>
    <w:rsid w:val="00407C8B"/>
    <w:rsid w:val="00407EDD"/>
    <w:rsid w:val="004107AC"/>
    <w:rsid w:val="0041083E"/>
    <w:rsid w:val="0041152B"/>
    <w:rsid w:val="004122CF"/>
    <w:rsid w:val="004123B6"/>
    <w:rsid w:val="004125F7"/>
    <w:rsid w:val="00413182"/>
    <w:rsid w:val="0041358E"/>
    <w:rsid w:val="00414169"/>
    <w:rsid w:val="004146C0"/>
    <w:rsid w:val="00414DE8"/>
    <w:rsid w:val="0041550C"/>
    <w:rsid w:val="0041568B"/>
    <w:rsid w:val="00415862"/>
    <w:rsid w:val="004160C8"/>
    <w:rsid w:val="00416379"/>
    <w:rsid w:val="0041639F"/>
    <w:rsid w:val="004168AE"/>
    <w:rsid w:val="00416DE1"/>
    <w:rsid w:val="00416F16"/>
    <w:rsid w:val="004178FF"/>
    <w:rsid w:val="004179C3"/>
    <w:rsid w:val="004204BF"/>
    <w:rsid w:val="00420E5E"/>
    <w:rsid w:val="00421181"/>
    <w:rsid w:val="004213A7"/>
    <w:rsid w:val="00421999"/>
    <w:rsid w:val="00421A2B"/>
    <w:rsid w:val="00421CB0"/>
    <w:rsid w:val="0042204E"/>
    <w:rsid w:val="0042217A"/>
    <w:rsid w:val="004224EC"/>
    <w:rsid w:val="00422B40"/>
    <w:rsid w:val="00422F96"/>
    <w:rsid w:val="004239DF"/>
    <w:rsid w:val="00423FF2"/>
    <w:rsid w:val="00424B48"/>
    <w:rsid w:val="00424DCA"/>
    <w:rsid w:val="00425B5E"/>
    <w:rsid w:val="00425F42"/>
    <w:rsid w:val="00425F8F"/>
    <w:rsid w:val="00426624"/>
    <w:rsid w:val="004271AE"/>
    <w:rsid w:val="004273B9"/>
    <w:rsid w:val="004276E1"/>
    <w:rsid w:val="004278AA"/>
    <w:rsid w:val="00427EC8"/>
    <w:rsid w:val="00427F95"/>
    <w:rsid w:val="00430476"/>
    <w:rsid w:val="00431110"/>
    <w:rsid w:val="00431907"/>
    <w:rsid w:val="00432753"/>
    <w:rsid w:val="00432E32"/>
    <w:rsid w:val="004330B7"/>
    <w:rsid w:val="004330F6"/>
    <w:rsid w:val="00433922"/>
    <w:rsid w:val="00434ADF"/>
    <w:rsid w:val="004359A1"/>
    <w:rsid w:val="00435D7A"/>
    <w:rsid w:val="00436606"/>
    <w:rsid w:val="00437485"/>
    <w:rsid w:val="004376E6"/>
    <w:rsid w:val="004400DA"/>
    <w:rsid w:val="00440590"/>
    <w:rsid w:val="004408D1"/>
    <w:rsid w:val="00440B08"/>
    <w:rsid w:val="00440F8A"/>
    <w:rsid w:val="004419A9"/>
    <w:rsid w:val="00441BF2"/>
    <w:rsid w:val="00441DBB"/>
    <w:rsid w:val="004428AD"/>
    <w:rsid w:val="00442CC5"/>
    <w:rsid w:val="004432EB"/>
    <w:rsid w:val="004436D6"/>
    <w:rsid w:val="00443F64"/>
    <w:rsid w:val="004446DE"/>
    <w:rsid w:val="00445B31"/>
    <w:rsid w:val="00445EEE"/>
    <w:rsid w:val="0044677A"/>
    <w:rsid w:val="00446926"/>
    <w:rsid w:val="00446954"/>
    <w:rsid w:val="00446C11"/>
    <w:rsid w:val="004479F4"/>
    <w:rsid w:val="0045033C"/>
    <w:rsid w:val="00450734"/>
    <w:rsid w:val="00450B69"/>
    <w:rsid w:val="0045138C"/>
    <w:rsid w:val="004516BE"/>
    <w:rsid w:val="00451D0A"/>
    <w:rsid w:val="004523A8"/>
    <w:rsid w:val="00452532"/>
    <w:rsid w:val="00452A22"/>
    <w:rsid w:val="00452F5C"/>
    <w:rsid w:val="00453267"/>
    <w:rsid w:val="00453A19"/>
    <w:rsid w:val="00454959"/>
    <w:rsid w:val="00454BA6"/>
    <w:rsid w:val="00455385"/>
    <w:rsid w:val="004558D1"/>
    <w:rsid w:val="004558DF"/>
    <w:rsid w:val="00456717"/>
    <w:rsid w:val="004569BE"/>
    <w:rsid w:val="004570D4"/>
    <w:rsid w:val="00457328"/>
    <w:rsid w:val="004575A7"/>
    <w:rsid w:val="0045766C"/>
    <w:rsid w:val="0046007F"/>
    <w:rsid w:val="00460136"/>
    <w:rsid w:val="00460C9A"/>
    <w:rsid w:val="00461734"/>
    <w:rsid w:val="004619FB"/>
    <w:rsid w:val="00462029"/>
    <w:rsid w:val="0046207D"/>
    <w:rsid w:val="004624D8"/>
    <w:rsid w:val="00462666"/>
    <w:rsid w:val="0046273F"/>
    <w:rsid w:val="00466244"/>
    <w:rsid w:val="00466393"/>
    <w:rsid w:val="0046684D"/>
    <w:rsid w:val="00466CFD"/>
    <w:rsid w:val="00466D0B"/>
    <w:rsid w:val="00466D91"/>
    <w:rsid w:val="00466E67"/>
    <w:rsid w:val="004677A2"/>
    <w:rsid w:val="00467A2D"/>
    <w:rsid w:val="00467CE6"/>
    <w:rsid w:val="00467E88"/>
    <w:rsid w:val="00470A57"/>
    <w:rsid w:val="00470FAD"/>
    <w:rsid w:val="00472458"/>
    <w:rsid w:val="00472488"/>
    <w:rsid w:val="00472753"/>
    <w:rsid w:val="004728C8"/>
    <w:rsid w:val="00472A9C"/>
    <w:rsid w:val="0047315D"/>
    <w:rsid w:val="004732A0"/>
    <w:rsid w:val="0047345C"/>
    <w:rsid w:val="00474011"/>
    <w:rsid w:val="0047424B"/>
    <w:rsid w:val="00474DED"/>
    <w:rsid w:val="00474ECB"/>
    <w:rsid w:val="00475426"/>
    <w:rsid w:val="00475A06"/>
    <w:rsid w:val="00475B2C"/>
    <w:rsid w:val="00475D32"/>
    <w:rsid w:val="00475DFE"/>
    <w:rsid w:val="004764A7"/>
    <w:rsid w:val="00476917"/>
    <w:rsid w:val="00476D24"/>
    <w:rsid w:val="004773EC"/>
    <w:rsid w:val="0047790A"/>
    <w:rsid w:val="0047793C"/>
    <w:rsid w:val="00480680"/>
    <w:rsid w:val="00481743"/>
    <w:rsid w:val="00482ADD"/>
    <w:rsid w:val="00483648"/>
    <w:rsid w:val="00483A14"/>
    <w:rsid w:val="00484333"/>
    <w:rsid w:val="00484715"/>
    <w:rsid w:val="00484953"/>
    <w:rsid w:val="00485172"/>
    <w:rsid w:val="00485299"/>
    <w:rsid w:val="004852B9"/>
    <w:rsid w:val="00485853"/>
    <w:rsid w:val="00485A9C"/>
    <w:rsid w:val="00485DCB"/>
    <w:rsid w:val="00485ECE"/>
    <w:rsid w:val="004868EB"/>
    <w:rsid w:val="00487348"/>
    <w:rsid w:val="004876F1"/>
    <w:rsid w:val="004877F1"/>
    <w:rsid w:val="00487872"/>
    <w:rsid w:val="004900BA"/>
    <w:rsid w:val="00490963"/>
    <w:rsid w:val="00490E23"/>
    <w:rsid w:val="0049155A"/>
    <w:rsid w:val="0049159B"/>
    <w:rsid w:val="0049210D"/>
    <w:rsid w:val="004923F7"/>
    <w:rsid w:val="00493253"/>
    <w:rsid w:val="004939D7"/>
    <w:rsid w:val="004942A6"/>
    <w:rsid w:val="00494394"/>
    <w:rsid w:val="00495382"/>
    <w:rsid w:val="00495824"/>
    <w:rsid w:val="00496D19"/>
    <w:rsid w:val="004975EB"/>
    <w:rsid w:val="00497CD3"/>
    <w:rsid w:val="00497F07"/>
    <w:rsid w:val="004A0B6D"/>
    <w:rsid w:val="004A0BBD"/>
    <w:rsid w:val="004A0C92"/>
    <w:rsid w:val="004A0F96"/>
    <w:rsid w:val="004A1572"/>
    <w:rsid w:val="004A1F18"/>
    <w:rsid w:val="004A2179"/>
    <w:rsid w:val="004A275B"/>
    <w:rsid w:val="004A2985"/>
    <w:rsid w:val="004A2A63"/>
    <w:rsid w:val="004A4010"/>
    <w:rsid w:val="004A4BA2"/>
    <w:rsid w:val="004A4CC3"/>
    <w:rsid w:val="004A4D95"/>
    <w:rsid w:val="004A4DE4"/>
    <w:rsid w:val="004A545B"/>
    <w:rsid w:val="004A58BE"/>
    <w:rsid w:val="004A5CF7"/>
    <w:rsid w:val="004A5E11"/>
    <w:rsid w:val="004A5F73"/>
    <w:rsid w:val="004A6118"/>
    <w:rsid w:val="004A6AA1"/>
    <w:rsid w:val="004A6C2D"/>
    <w:rsid w:val="004A7000"/>
    <w:rsid w:val="004A75BB"/>
    <w:rsid w:val="004A7F5F"/>
    <w:rsid w:val="004A7FF7"/>
    <w:rsid w:val="004B0309"/>
    <w:rsid w:val="004B042A"/>
    <w:rsid w:val="004B0A45"/>
    <w:rsid w:val="004B0C54"/>
    <w:rsid w:val="004B0D8C"/>
    <w:rsid w:val="004B0FDC"/>
    <w:rsid w:val="004B1214"/>
    <w:rsid w:val="004B1221"/>
    <w:rsid w:val="004B1394"/>
    <w:rsid w:val="004B1435"/>
    <w:rsid w:val="004B204A"/>
    <w:rsid w:val="004B23DE"/>
    <w:rsid w:val="004B2757"/>
    <w:rsid w:val="004B2D1E"/>
    <w:rsid w:val="004B2ED3"/>
    <w:rsid w:val="004B3D0C"/>
    <w:rsid w:val="004B3ECF"/>
    <w:rsid w:val="004B4307"/>
    <w:rsid w:val="004B4EB5"/>
    <w:rsid w:val="004B5396"/>
    <w:rsid w:val="004B5AEF"/>
    <w:rsid w:val="004B5BE8"/>
    <w:rsid w:val="004B5DB2"/>
    <w:rsid w:val="004B6210"/>
    <w:rsid w:val="004B7164"/>
    <w:rsid w:val="004B7BE7"/>
    <w:rsid w:val="004C0001"/>
    <w:rsid w:val="004C09A0"/>
    <w:rsid w:val="004C0AEF"/>
    <w:rsid w:val="004C12DD"/>
    <w:rsid w:val="004C1741"/>
    <w:rsid w:val="004C2587"/>
    <w:rsid w:val="004C25EC"/>
    <w:rsid w:val="004C3679"/>
    <w:rsid w:val="004C3778"/>
    <w:rsid w:val="004C381E"/>
    <w:rsid w:val="004C38D3"/>
    <w:rsid w:val="004C4508"/>
    <w:rsid w:val="004C4B75"/>
    <w:rsid w:val="004C5CA1"/>
    <w:rsid w:val="004C5ECB"/>
    <w:rsid w:val="004C5F6D"/>
    <w:rsid w:val="004C6099"/>
    <w:rsid w:val="004C6255"/>
    <w:rsid w:val="004C6CE8"/>
    <w:rsid w:val="004C7662"/>
    <w:rsid w:val="004C7939"/>
    <w:rsid w:val="004D0513"/>
    <w:rsid w:val="004D16FC"/>
    <w:rsid w:val="004D4083"/>
    <w:rsid w:val="004D46C1"/>
    <w:rsid w:val="004D4FBF"/>
    <w:rsid w:val="004D5FDF"/>
    <w:rsid w:val="004D61B8"/>
    <w:rsid w:val="004D6A36"/>
    <w:rsid w:val="004D6A7B"/>
    <w:rsid w:val="004E00A5"/>
    <w:rsid w:val="004E0187"/>
    <w:rsid w:val="004E0469"/>
    <w:rsid w:val="004E0707"/>
    <w:rsid w:val="004E0805"/>
    <w:rsid w:val="004E0EB5"/>
    <w:rsid w:val="004E111C"/>
    <w:rsid w:val="004E1305"/>
    <w:rsid w:val="004E2022"/>
    <w:rsid w:val="004E2971"/>
    <w:rsid w:val="004E2BD2"/>
    <w:rsid w:val="004E2E66"/>
    <w:rsid w:val="004E4A22"/>
    <w:rsid w:val="004E5561"/>
    <w:rsid w:val="004E5BC6"/>
    <w:rsid w:val="004E62B5"/>
    <w:rsid w:val="004E6EFE"/>
    <w:rsid w:val="004E72DC"/>
    <w:rsid w:val="004E76B4"/>
    <w:rsid w:val="004E7D8A"/>
    <w:rsid w:val="004F0096"/>
    <w:rsid w:val="004F0261"/>
    <w:rsid w:val="004F03C8"/>
    <w:rsid w:val="004F072A"/>
    <w:rsid w:val="004F08BB"/>
    <w:rsid w:val="004F0D9D"/>
    <w:rsid w:val="004F16EE"/>
    <w:rsid w:val="004F1B12"/>
    <w:rsid w:val="004F1BE0"/>
    <w:rsid w:val="004F2835"/>
    <w:rsid w:val="004F2A8B"/>
    <w:rsid w:val="004F3243"/>
    <w:rsid w:val="004F32DD"/>
    <w:rsid w:val="004F3679"/>
    <w:rsid w:val="004F3B6F"/>
    <w:rsid w:val="004F3C12"/>
    <w:rsid w:val="004F3C90"/>
    <w:rsid w:val="004F42CE"/>
    <w:rsid w:val="004F4601"/>
    <w:rsid w:val="004F4B92"/>
    <w:rsid w:val="004F64D4"/>
    <w:rsid w:val="004F68B6"/>
    <w:rsid w:val="004F70A8"/>
    <w:rsid w:val="004F76C9"/>
    <w:rsid w:val="00501BDB"/>
    <w:rsid w:val="00501E94"/>
    <w:rsid w:val="00502222"/>
    <w:rsid w:val="00502C11"/>
    <w:rsid w:val="00502F94"/>
    <w:rsid w:val="0050367E"/>
    <w:rsid w:val="00503A41"/>
    <w:rsid w:val="00503C3D"/>
    <w:rsid w:val="00503D94"/>
    <w:rsid w:val="005041E7"/>
    <w:rsid w:val="005048C5"/>
    <w:rsid w:val="0050516A"/>
    <w:rsid w:val="005053AE"/>
    <w:rsid w:val="00505941"/>
    <w:rsid w:val="00505A87"/>
    <w:rsid w:val="00505E22"/>
    <w:rsid w:val="005062B4"/>
    <w:rsid w:val="00506E95"/>
    <w:rsid w:val="005073F1"/>
    <w:rsid w:val="0050764A"/>
    <w:rsid w:val="00507C12"/>
    <w:rsid w:val="00507D68"/>
    <w:rsid w:val="00507E7E"/>
    <w:rsid w:val="00510388"/>
    <w:rsid w:val="005110CC"/>
    <w:rsid w:val="0051129F"/>
    <w:rsid w:val="0051178F"/>
    <w:rsid w:val="00512ABF"/>
    <w:rsid w:val="00512F88"/>
    <w:rsid w:val="00513469"/>
    <w:rsid w:val="005138B6"/>
    <w:rsid w:val="00514EA2"/>
    <w:rsid w:val="0051590C"/>
    <w:rsid w:val="00515C95"/>
    <w:rsid w:val="00516957"/>
    <w:rsid w:val="00516C17"/>
    <w:rsid w:val="00516EC0"/>
    <w:rsid w:val="0051743A"/>
    <w:rsid w:val="00517A61"/>
    <w:rsid w:val="00520482"/>
    <w:rsid w:val="00520C29"/>
    <w:rsid w:val="00521076"/>
    <w:rsid w:val="00521774"/>
    <w:rsid w:val="00521A6E"/>
    <w:rsid w:val="00521B95"/>
    <w:rsid w:val="005239DC"/>
    <w:rsid w:val="00524162"/>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9E3"/>
    <w:rsid w:val="00526CD8"/>
    <w:rsid w:val="00526E39"/>
    <w:rsid w:val="00527153"/>
    <w:rsid w:val="005277C8"/>
    <w:rsid w:val="005278AF"/>
    <w:rsid w:val="00527F27"/>
    <w:rsid w:val="005302F4"/>
    <w:rsid w:val="00530602"/>
    <w:rsid w:val="0053065E"/>
    <w:rsid w:val="00530687"/>
    <w:rsid w:val="00530BC0"/>
    <w:rsid w:val="005311F3"/>
    <w:rsid w:val="0053196C"/>
    <w:rsid w:val="00531C57"/>
    <w:rsid w:val="00531CB7"/>
    <w:rsid w:val="0053210B"/>
    <w:rsid w:val="005326A6"/>
    <w:rsid w:val="00532708"/>
    <w:rsid w:val="00532FA6"/>
    <w:rsid w:val="005330D9"/>
    <w:rsid w:val="0053364D"/>
    <w:rsid w:val="00534757"/>
    <w:rsid w:val="00534947"/>
    <w:rsid w:val="00534C47"/>
    <w:rsid w:val="00535322"/>
    <w:rsid w:val="00535556"/>
    <w:rsid w:val="00535F98"/>
    <w:rsid w:val="0053627D"/>
    <w:rsid w:val="00536941"/>
    <w:rsid w:val="0054003C"/>
    <w:rsid w:val="00540181"/>
    <w:rsid w:val="005403AE"/>
    <w:rsid w:val="005424B9"/>
    <w:rsid w:val="00542616"/>
    <w:rsid w:val="00542676"/>
    <w:rsid w:val="0054277D"/>
    <w:rsid w:val="00542D12"/>
    <w:rsid w:val="00542F61"/>
    <w:rsid w:val="00543256"/>
    <w:rsid w:val="00543347"/>
    <w:rsid w:val="0054349D"/>
    <w:rsid w:val="00543E9B"/>
    <w:rsid w:val="00544068"/>
    <w:rsid w:val="0054482E"/>
    <w:rsid w:val="00544937"/>
    <w:rsid w:val="005449EB"/>
    <w:rsid w:val="00545127"/>
    <w:rsid w:val="00545CCE"/>
    <w:rsid w:val="00545F63"/>
    <w:rsid w:val="00546204"/>
    <w:rsid w:val="00546F99"/>
    <w:rsid w:val="005471C1"/>
    <w:rsid w:val="005475B2"/>
    <w:rsid w:val="005475E8"/>
    <w:rsid w:val="00547B90"/>
    <w:rsid w:val="005515D7"/>
    <w:rsid w:val="005516C9"/>
    <w:rsid w:val="0055182C"/>
    <w:rsid w:val="00551852"/>
    <w:rsid w:val="00551F28"/>
    <w:rsid w:val="0055279C"/>
    <w:rsid w:val="0055286F"/>
    <w:rsid w:val="005528B6"/>
    <w:rsid w:val="005531A3"/>
    <w:rsid w:val="00553C03"/>
    <w:rsid w:val="00554D36"/>
    <w:rsid w:val="00554D7F"/>
    <w:rsid w:val="0055506E"/>
    <w:rsid w:val="00555A97"/>
    <w:rsid w:val="00555AAF"/>
    <w:rsid w:val="00555AB8"/>
    <w:rsid w:val="00555D87"/>
    <w:rsid w:val="00555F2D"/>
    <w:rsid w:val="005560B5"/>
    <w:rsid w:val="0055634D"/>
    <w:rsid w:val="005571F1"/>
    <w:rsid w:val="00557AAD"/>
    <w:rsid w:val="00557DF3"/>
    <w:rsid w:val="005600F4"/>
    <w:rsid w:val="00560545"/>
    <w:rsid w:val="00560766"/>
    <w:rsid w:val="00561440"/>
    <w:rsid w:val="0056167C"/>
    <w:rsid w:val="00561A95"/>
    <w:rsid w:val="00561E61"/>
    <w:rsid w:val="0056246B"/>
    <w:rsid w:val="00562776"/>
    <w:rsid w:val="0056322C"/>
    <w:rsid w:val="00563A5E"/>
    <w:rsid w:val="00563D45"/>
    <w:rsid w:val="00563D47"/>
    <w:rsid w:val="00563F69"/>
    <w:rsid w:val="00564195"/>
    <w:rsid w:val="00564E3A"/>
    <w:rsid w:val="0056530E"/>
    <w:rsid w:val="00565644"/>
    <w:rsid w:val="00565E81"/>
    <w:rsid w:val="00566016"/>
    <w:rsid w:val="005668CC"/>
    <w:rsid w:val="00566CA1"/>
    <w:rsid w:val="005673C9"/>
    <w:rsid w:val="00567545"/>
    <w:rsid w:val="00570219"/>
    <w:rsid w:val="00570AE9"/>
    <w:rsid w:val="00571023"/>
    <w:rsid w:val="005716A6"/>
    <w:rsid w:val="0057248B"/>
    <w:rsid w:val="00572600"/>
    <w:rsid w:val="00572AB9"/>
    <w:rsid w:val="00572D98"/>
    <w:rsid w:val="005734E9"/>
    <w:rsid w:val="005734F2"/>
    <w:rsid w:val="005754F2"/>
    <w:rsid w:val="00575692"/>
    <w:rsid w:val="005757D0"/>
    <w:rsid w:val="00576BF8"/>
    <w:rsid w:val="00576C60"/>
    <w:rsid w:val="00577B60"/>
    <w:rsid w:val="005800ED"/>
    <w:rsid w:val="00580931"/>
    <w:rsid w:val="00581181"/>
    <w:rsid w:val="00581246"/>
    <w:rsid w:val="00581EF6"/>
    <w:rsid w:val="00582253"/>
    <w:rsid w:val="00583031"/>
    <w:rsid w:val="00583FAC"/>
    <w:rsid w:val="005840C5"/>
    <w:rsid w:val="00584A04"/>
    <w:rsid w:val="005856F5"/>
    <w:rsid w:val="00585A43"/>
    <w:rsid w:val="00585D0E"/>
    <w:rsid w:val="00585E80"/>
    <w:rsid w:val="005862BF"/>
    <w:rsid w:val="00586490"/>
    <w:rsid w:val="00586BBC"/>
    <w:rsid w:val="00587340"/>
    <w:rsid w:val="005879AF"/>
    <w:rsid w:val="00587B2B"/>
    <w:rsid w:val="00591518"/>
    <w:rsid w:val="00591651"/>
    <w:rsid w:val="00591765"/>
    <w:rsid w:val="00592192"/>
    <w:rsid w:val="00592403"/>
    <w:rsid w:val="00592523"/>
    <w:rsid w:val="00592664"/>
    <w:rsid w:val="00592A14"/>
    <w:rsid w:val="00593CF0"/>
    <w:rsid w:val="00594114"/>
    <w:rsid w:val="00594472"/>
    <w:rsid w:val="00594C7D"/>
    <w:rsid w:val="00594D26"/>
    <w:rsid w:val="00596534"/>
    <w:rsid w:val="00596537"/>
    <w:rsid w:val="005976D7"/>
    <w:rsid w:val="00597AB3"/>
    <w:rsid w:val="005A092B"/>
    <w:rsid w:val="005A09F3"/>
    <w:rsid w:val="005A22CD"/>
    <w:rsid w:val="005A2E23"/>
    <w:rsid w:val="005A300E"/>
    <w:rsid w:val="005A50A0"/>
    <w:rsid w:val="005A5F00"/>
    <w:rsid w:val="005A620E"/>
    <w:rsid w:val="005A7517"/>
    <w:rsid w:val="005A779C"/>
    <w:rsid w:val="005B010C"/>
    <w:rsid w:val="005B010F"/>
    <w:rsid w:val="005B0346"/>
    <w:rsid w:val="005B04A3"/>
    <w:rsid w:val="005B0CDB"/>
    <w:rsid w:val="005B0FB3"/>
    <w:rsid w:val="005B120A"/>
    <w:rsid w:val="005B123A"/>
    <w:rsid w:val="005B14D6"/>
    <w:rsid w:val="005B1564"/>
    <w:rsid w:val="005B1ABD"/>
    <w:rsid w:val="005B200B"/>
    <w:rsid w:val="005B3102"/>
    <w:rsid w:val="005B3744"/>
    <w:rsid w:val="005B3763"/>
    <w:rsid w:val="005B3AB8"/>
    <w:rsid w:val="005B3E91"/>
    <w:rsid w:val="005B4447"/>
    <w:rsid w:val="005B4560"/>
    <w:rsid w:val="005B47E4"/>
    <w:rsid w:val="005B487B"/>
    <w:rsid w:val="005B5B48"/>
    <w:rsid w:val="005B6F6C"/>
    <w:rsid w:val="005B7725"/>
    <w:rsid w:val="005C0036"/>
    <w:rsid w:val="005C028C"/>
    <w:rsid w:val="005C02C9"/>
    <w:rsid w:val="005C03C9"/>
    <w:rsid w:val="005C05B4"/>
    <w:rsid w:val="005C0622"/>
    <w:rsid w:val="005C0939"/>
    <w:rsid w:val="005C098A"/>
    <w:rsid w:val="005C0DE9"/>
    <w:rsid w:val="005C0F3D"/>
    <w:rsid w:val="005C16AC"/>
    <w:rsid w:val="005C22E6"/>
    <w:rsid w:val="005C2589"/>
    <w:rsid w:val="005C2B58"/>
    <w:rsid w:val="005C30F4"/>
    <w:rsid w:val="005C3168"/>
    <w:rsid w:val="005C3E2B"/>
    <w:rsid w:val="005C3FCA"/>
    <w:rsid w:val="005C46F2"/>
    <w:rsid w:val="005C47BE"/>
    <w:rsid w:val="005C5CC4"/>
    <w:rsid w:val="005C5D03"/>
    <w:rsid w:val="005C6AB2"/>
    <w:rsid w:val="005C6CD1"/>
    <w:rsid w:val="005C6EA3"/>
    <w:rsid w:val="005D007F"/>
    <w:rsid w:val="005D099F"/>
    <w:rsid w:val="005D09DB"/>
    <w:rsid w:val="005D0BC2"/>
    <w:rsid w:val="005D0D0E"/>
    <w:rsid w:val="005D0F53"/>
    <w:rsid w:val="005D1D0C"/>
    <w:rsid w:val="005D1E14"/>
    <w:rsid w:val="005D2A46"/>
    <w:rsid w:val="005D30BE"/>
    <w:rsid w:val="005D356F"/>
    <w:rsid w:val="005D3C58"/>
    <w:rsid w:val="005D45FE"/>
    <w:rsid w:val="005D47EA"/>
    <w:rsid w:val="005D56AF"/>
    <w:rsid w:val="005D583E"/>
    <w:rsid w:val="005D59B9"/>
    <w:rsid w:val="005D644F"/>
    <w:rsid w:val="005D653E"/>
    <w:rsid w:val="005D6EE2"/>
    <w:rsid w:val="005D7571"/>
    <w:rsid w:val="005E0067"/>
    <w:rsid w:val="005E07D6"/>
    <w:rsid w:val="005E0EAA"/>
    <w:rsid w:val="005E1FFC"/>
    <w:rsid w:val="005E252C"/>
    <w:rsid w:val="005E2C7F"/>
    <w:rsid w:val="005E360D"/>
    <w:rsid w:val="005E39DC"/>
    <w:rsid w:val="005E3C9D"/>
    <w:rsid w:val="005E3CDC"/>
    <w:rsid w:val="005E41F6"/>
    <w:rsid w:val="005E42A0"/>
    <w:rsid w:val="005E4D1E"/>
    <w:rsid w:val="005E500A"/>
    <w:rsid w:val="005E510E"/>
    <w:rsid w:val="005E5C4F"/>
    <w:rsid w:val="005E60F8"/>
    <w:rsid w:val="005E6EA0"/>
    <w:rsid w:val="005E6FF0"/>
    <w:rsid w:val="005E760E"/>
    <w:rsid w:val="005F0345"/>
    <w:rsid w:val="005F0C58"/>
    <w:rsid w:val="005F14AA"/>
    <w:rsid w:val="005F2570"/>
    <w:rsid w:val="005F331A"/>
    <w:rsid w:val="005F347D"/>
    <w:rsid w:val="005F358D"/>
    <w:rsid w:val="005F43DC"/>
    <w:rsid w:val="005F49EE"/>
    <w:rsid w:val="005F586E"/>
    <w:rsid w:val="005F5B40"/>
    <w:rsid w:val="005F6269"/>
    <w:rsid w:val="005F6298"/>
    <w:rsid w:val="005F6547"/>
    <w:rsid w:val="005F7176"/>
    <w:rsid w:val="005F7379"/>
    <w:rsid w:val="005F79C2"/>
    <w:rsid w:val="005F7A20"/>
    <w:rsid w:val="005F7B50"/>
    <w:rsid w:val="00600E4F"/>
    <w:rsid w:val="00600FBD"/>
    <w:rsid w:val="0060194E"/>
    <w:rsid w:val="006019CA"/>
    <w:rsid w:val="00601AC6"/>
    <w:rsid w:val="0060230D"/>
    <w:rsid w:val="006023D0"/>
    <w:rsid w:val="006024A7"/>
    <w:rsid w:val="00602DDE"/>
    <w:rsid w:val="006033D6"/>
    <w:rsid w:val="00603444"/>
    <w:rsid w:val="0060373D"/>
    <w:rsid w:val="00603D25"/>
    <w:rsid w:val="00603D34"/>
    <w:rsid w:val="006040A8"/>
    <w:rsid w:val="0060456B"/>
    <w:rsid w:val="00607092"/>
    <w:rsid w:val="00607426"/>
    <w:rsid w:val="00607936"/>
    <w:rsid w:val="00607E37"/>
    <w:rsid w:val="00607E8D"/>
    <w:rsid w:val="0061047A"/>
    <w:rsid w:val="00610579"/>
    <w:rsid w:val="00610772"/>
    <w:rsid w:val="00610C86"/>
    <w:rsid w:val="0061160D"/>
    <w:rsid w:val="0061170A"/>
    <w:rsid w:val="00611725"/>
    <w:rsid w:val="00612A1A"/>
    <w:rsid w:val="00612D0C"/>
    <w:rsid w:val="006133F9"/>
    <w:rsid w:val="006144FD"/>
    <w:rsid w:val="006147B1"/>
    <w:rsid w:val="00614A28"/>
    <w:rsid w:val="00614DA4"/>
    <w:rsid w:val="00615373"/>
    <w:rsid w:val="00615434"/>
    <w:rsid w:val="006158B8"/>
    <w:rsid w:val="00615A80"/>
    <w:rsid w:val="00615FD3"/>
    <w:rsid w:val="00616A24"/>
    <w:rsid w:val="00616F04"/>
    <w:rsid w:val="006176FB"/>
    <w:rsid w:val="00617936"/>
    <w:rsid w:val="00620188"/>
    <w:rsid w:val="00620B0F"/>
    <w:rsid w:val="0062122D"/>
    <w:rsid w:val="00621463"/>
    <w:rsid w:val="00621AF1"/>
    <w:rsid w:val="006223BA"/>
    <w:rsid w:val="006231AF"/>
    <w:rsid w:val="00623437"/>
    <w:rsid w:val="00623569"/>
    <w:rsid w:val="0062356D"/>
    <w:rsid w:val="006239B9"/>
    <w:rsid w:val="006240C4"/>
    <w:rsid w:val="006245C5"/>
    <w:rsid w:val="00624A94"/>
    <w:rsid w:val="00625001"/>
    <w:rsid w:val="006251BC"/>
    <w:rsid w:val="00625248"/>
    <w:rsid w:val="00625329"/>
    <w:rsid w:val="006256B6"/>
    <w:rsid w:val="00625963"/>
    <w:rsid w:val="00625C11"/>
    <w:rsid w:val="0062613F"/>
    <w:rsid w:val="00626300"/>
    <w:rsid w:val="00626577"/>
    <w:rsid w:val="006266E0"/>
    <w:rsid w:val="00626AB9"/>
    <w:rsid w:val="006300E3"/>
    <w:rsid w:val="006304B8"/>
    <w:rsid w:val="00630E52"/>
    <w:rsid w:val="00631A52"/>
    <w:rsid w:val="00631BB6"/>
    <w:rsid w:val="00631F5B"/>
    <w:rsid w:val="00632137"/>
    <w:rsid w:val="006321D3"/>
    <w:rsid w:val="0063285A"/>
    <w:rsid w:val="00632B07"/>
    <w:rsid w:val="00632E64"/>
    <w:rsid w:val="00633387"/>
    <w:rsid w:val="0063359A"/>
    <w:rsid w:val="00633788"/>
    <w:rsid w:val="00633C16"/>
    <w:rsid w:val="0063418C"/>
    <w:rsid w:val="006344BA"/>
    <w:rsid w:val="00634C11"/>
    <w:rsid w:val="0063552B"/>
    <w:rsid w:val="00635945"/>
    <w:rsid w:val="00636880"/>
    <w:rsid w:val="00636B84"/>
    <w:rsid w:val="0063719D"/>
    <w:rsid w:val="0063778F"/>
    <w:rsid w:val="00640077"/>
    <w:rsid w:val="00640370"/>
    <w:rsid w:val="00640A2D"/>
    <w:rsid w:val="006415F7"/>
    <w:rsid w:val="006422B4"/>
    <w:rsid w:val="006423F6"/>
    <w:rsid w:val="006424FD"/>
    <w:rsid w:val="0064280A"/>
    <w:rsid w:val="0064287D"/>
    <w:rsid w:val="006432FB"/>
    <w:rsid w:val="00643A39"/>
    <w:rsid w:val="00644203"/>
    <w:rsid w:val="00644B95"/>
    <w:rsid w:val="00644E8F"/>
    <w:rsid w:val="00645409"/>
    <w:rsid w:val="00645768"/>
    <w:rsid w:val="00645B0F"/>
    <w:rsid w:val="00645E3A"/>
    <w:rsid w:val="0064629A"/>
    <w:rsid w:val="00646312"/>
    <w:rsid w:val="006465C7"/>
    <w:rsid w:val="006468D3"/>
    <w:rsid w:val="006469DA"/>
    <w:rsid w:val="00646EA2"/>
    <w:rsid w:val="00647594"/>
    <w:rsid w:val="0064788E"/>
    <w:rsid w:val="00647936"/>
    <w:rsid w:val="00647C06"/>
    <w:rsid w:val="00647E89"/>
    <w:rsid w:val="0065071D"/>
    <w:rsid w:val="00650AC9"/>
    <w:rsid w:val="00650ADC"/>
    <w:rsid w:val="00651516"/>
    <w:rsid w:val="006522E1"/>
    <w:rsid w:val="00652B81"/>
    <w:rsid w:val="00652C77"/>
    <w:rsid w:val="00652CE7"/>
    <w:rsid w:val="00652D13"/>
    <w:rsid w:val="00652E4A"/>
    <w:rsid w:val="006534DA"/>
    <w:rsid w:val="006535C9"/>
    <w:rsid w:val="00653836"/>
    <w:rsid w:val="00654570"/>
    <w:rsid w:val="00654844"/>
    <w:rsid w:val="0065501A"/>
    <w:rsid w:val="00655340"/>
    <w:rsid w:val="006559C4"/>
    <w:rsid w:val="00656407"/>
    <w:rsid w:val="00657362"/>
    <w:rsid w:val="0066046B"/>
    <w:rsid w:val="006619EE"/>
    <w:rsid w:val="006627C2"/>
    <w:rsid w:val="00662D15"/>
    <w:rsid w:val="00663A92"/>
    <w:rsid w:val="00663C56"/>
    <w:rsid w:val="00664337"/>
    <w:rsid w:val="0066494C"/>
    <w:rsid w:val="00664C73"/>
    <w:rsid w:val="00664D31"/>
    <w:rsid w:val="00666208"/>
    <w:rsid w:val="006662C4"/>
    <w:rsid w:val="006665FF"/>
    <w:rsid w:val="00666B07"/>
    <w:rsid w:val="00666FE1"/>
    <w:rsid w:val="006676D3"/>
    <w:rsid w:val="006677AD"/>
    <w:rsid w:val="00667B85"/>
    <w:rsid w:val="0067033C"/>
    <w:rsid w:val="006705A4"/>
    <w:rsid w:val="0067085C"/>
    <w:rsid w:val="00670A8A"/>
    <w:rsid w:val="00670C5A"/>
    <w:rsid w:val="00671792"/>
    <w:rsid w:val="00671B3F"/>
    <w:rsid w:val="00671B81"/>
    <w:rsid w:val="006721BA"/>
    <w:rsid w:val="00672478"/>
    <w:rsid w:val="00672EF5"/>
    <w:rsid w:val="00673375"/>
    <w:rsid w:val="006737B4"/>
    <w:rsid w:val="0067441F"/>
    <w:rsid w:val="006757DF"/>
    <w:rsid w:val="0067582E"/>
    <w:rsid w:val="0067660E"/>
    <w:rsid w:val="0067684D"/>
    <w:rsid w:val="00676AFD"/>
    <w:rsid w:val="00676C15"/>
    <w:rsid w:val="0067721D"/>
    <w:rsid w:val="0067722A"/>
    <w:rsid w:val="0067773F"/>
    <w:rsid w:val="00677D01"/>
    <w:rsid w:val="00680617"/>
    <w:rsid w:val="00680720"/>
    <w:rsid w:val="00680E76"/>
    <w:rsid w:val="00681B49"/>
    <w:rsid w:val="00681CFA"/>
    <w:rsid w:val="00681E4A"/>
    <w:rsid w:val="00682EFB"/>
    <w:rsid w:val="0068346D"/>
    <w:rsid w:val="006838B7"/>
    <w:rsid w:val="00683D33"/>
    <w:rsid w:val="00684346"/>
    <w:rsid w:val="00684A56"/>
    <w:rsid w:val="00684B3A"/>
    <w:rsid w:val="006855E8"/>
    <w:rsid w:val="00685985"/>
    <w:rsid w:val="00686091"/>
    <w:rsid w:val="0068618F"/>
    <w:rsid w:val="006863F3"/>
    <w:rsid w:val="0068657C"/>
    <w:rsid w:val="00686B81"/>
    <w:rsid w:val="00686F1B"/>
    <w:rsid w:val="0068796B"/>
    <w:rsid w:val="006907F8"/>
    <w:rsid w:val="00690A9A"/>
    <w:rsid w:val="00690D36"/>
    <w:rsid w:val="00691356"/>
    <w:rsid w:val="00691712"/>
    <w:rsid w:val="006917D3"/>
    <w:rsid w:val="006929D5"/>
    <w:rsid w:val="00692C39"/>
    <w:rsid w:val="00692C75"/>
    <w:rsid w:val="00692CC5"/>
    <w:rsid w:val="00693643"/>
    <w:rsid w:val="0069379C"/>
    <w:rsid w:val="0069487B"/>
    <w:rsid w:val="00694CEB"/>
    <w:rsid w:val="00694D8D"/>
    <w:rsid w:val="00695185"/>
    <w:rsid w:val="006953E9"/>
    <w:rsid w:val="00695500"/>
    <w:rsid w:val="00695F9F"/>
    <w:rsid w:val="0069600E"/>
    <w:rsid w:val="00696439"/>
    <w:rsid w:val="00696834"/>
    <w:rsid w:val="00696E04"/>
    <w:rsid w:val="00697079"/>
    <w:rsid w:val="006970B9"/>
    <w:rsid w:val="006979F9"/>
    <w:rsid w:val="006A0ACE"/>
    <w:rsid w:val="006A1E2B"/>
    <w:rsid w:val="006A22E9"/>
    <w:rsid w:val="006A3050"/>
    <w:rsid w:val="006A344A"/>
    <w:rsid w:val="006A39BC"/>
    <w:rsid w:val="006A4204"/>
    <w:rsid w:val="006A45AF"/>
    <w:rsid w:val="006A48F8"/>
    <w:rsid w:val="006A5309"/>
    <w:rsid w:val="006A5E89"/>
    <w:rsid w:val="006A6CE0"/>
    <w:rsid w:val="006A6FB1"/>
    <w:rsid w:val="006A7548"/>
    <w:rsid w:val="006A75A3"/>
    <w:rsid w:val="006A761F"/>
    <w:rsid w:val="006A76A1"/>
    <w:rsid w:val="006A7EE9"/>
    <w:rsid w:val="006B081C"/>
    <w:rsid w:val="006B0AD3"/>
    <w:rsid w:val="006B1058"/>
    <w:rsid w:val="006B13A4"/>
    <w:rsid w:val="006B161B"/>
    <w:rsid w:val="006B1AC5"/>
    <w:rsid w:val="006B1C65"/>
    <w:rsid w:val="006B2103"/>
    <w:rsid w:val="006B2189"/>
    <w:rsid w:val="006B2385"/>
    <w:rsid w:val="006B3F1F"/>
    <w:rsid w:val="006B4078"/>
    <w:rsid w:val="006B456A"/>
    <w:rsid w:val="006B47C6"/>
    <w:rsid w:val="006B4A8B"/>
    <w:rsid w:val="006B4CB3"/>
    <w:rsid w:val="006B5148"/>
    <w:rsid w:val="006B53E9"/>
    <w:rsid w:val="006B5521"/>
    <w:rsid w:val="006B5722"/>
    <w:rsid w:val="006B57E6"/>
    <w:rsid w:val="006B585D"/>
    <w:rsid w:val="006B58AC"/>
    <w:rsid w:val="006B6AC4"/>
    <w:rsid w:val="006B6E36"/>
    <w:rsid w:val="006B6E91"/>
    <w:rsid w:val="006B6FFB"/>
    <w:rsid w:val="006B7A27"/>
    <w:rsid w:val="006C0EE3"/>
    <w:rsid w:val="006C16C0"/>
    <w:rsid w:val="006C182A"/>
    <w:rsid w:val="006C1CE9"/>
    <w:rsid w:val="006C21E4"/>
    <w:rsid w:val="006C22F6"/>
    <w:rsid w:val="006C325A"/>
    <w:rsid w:val="006C3EBA"/>
    <w:rsid w:val="006C3EE1"/>
    <w:rsid w:val="006C48E4"/>
    <w:rsid w:val="006C4A93"/>
    <w:rsid w:val="006C4C2F"/>
    <w:rsid w:val="006C4CE1"/>
    <w:rsid w:val="006C5842"/>
    <w:rsid w:val="006C607E"/>
    <w:rsid w:val="006C6097"/>
    <w:rsid w:val="006C63F5"/>
    <w:rsid w:val="006D0084"/>
    <w:rsid w:val="006D096D"/>
    <w:rsid w:val="006D1544"/>
    <w:rsid w:val="006D185E"/>
    <w:rsid w:val="006D19E0"/>
    <w:rsid w:val="006D3D9A"/>
    <w:rsid w:val="006D459A"/>
    <w:rsid w:val="006D4CC2"/>
    <w:rsid w:val="006D5A43"/>
    <w:rsid w:val="006D6062"/>
    <w:rsid w:val="006D65F0"/>
    <w:rsid w:val="006D6A2B"/>
    <w:rsid w:val="006D72E0"/>
    <w:rsid w:val="006D7A8E"/>
    <w:rsid w:val="006D7F46"/>
    <w:rsid w:val="006E0284"/>
    <w:rsid w:val="006E0287"/>
    <w:rsid w:val="006E09D4"/>
    <w:rsid w:val="006E13FF"/>
    <w:rsid w:val="006E16FD"/>
    <w:rsid w:val="006E223F"/>
    <w:rsid w:val="006E267C"/>
    <w:rsid w:val="006E2752"/>
    <w:rsid w:val="006E2D88"/>
    <w:rsid w:val="006E2DF4"/>
    <w:rsid w:val="006E3220"/>
    <w:rsid w:val="006E32F0"/>
    <w:rsid w:val="006E3B8F"/>
    <w:rsid w:val="006E3CC8"/>
    <w:rsid w:val="006E404F"/>
    <w:rsid w:val="006E6B92"/>
    <w:rsid w:val="006F12FD"/>
    <w:rsid w:val="006F1412"/>
    <w:rsid w:val="006F1C00"/>
    <w:rsid w:val="006F1C91"/>
    <w:rsid w:val="006F2B01"/>
    <w:rsid w:val="006F2B9D"/>
    <w:rsid w:val="006F2DA2"/>
    <w:rsid w:val="006F3972"/>
    <w:rsid w:val="006F3B8F"/>
    <w:rsid w:val="006F3DAA"/>
    <w:rsid w:val="006F44BC"/>
    <w:rsid w:val="006F4DC8"/>
    <w:rsid w:val="006F4E21"/>
    <w:rsid w:val="006F53C0"/>
    <w:rsid w:val="006F572C"/>
    <w:rsid w:val="006F5D65"/>
    <w:rsid w:val="006F637A"/>
    <w:rsid w:val="006F66AB"/>
    <w:rsid w:val="006F6888"/>
    <w:rsid w:val="006F6A7D"/>
    <w:rsid w:val="006F6DC8"/>
    <w:rsid w:val="006F774F"/>
    <w:rsid w:val="006F7C89"/>
    <w:rsid w:val="007017BF"/>
    <w:rsid w:val="00701C99"/>
    <w:rsid w:val="00701DF1"/>
    <w:rsid w:val="0070215A"/>
    <w:rsid w:val="00702CD9"/>
    <w:rsid w:val="00702FD6"/>
    <w:rsid w:val="00703347"/>
    <w:rsid w:val="00703361"/>
    <w:rsid w:val="007044EC"/>
    <w:rsid w:val="00704C50"/>
    <w:rsid w:val="0070618A"/>
    <w:rsid w:val="00706B72"/>
    <w:rsid w:val="00707117"/>
    <w:rsid w:val="00707627"/>
    <w:rsid w:val="00707DF0"/>
    <w:rsid w:val="00707FB7"/>
    <w:rsid w:val="00710192"/>
    <w:rsid w:val="00710666"/>
    <w:rsid w:val="00710A2C"/>
    <w:rsid w:val="007119D1"/>
    <w:rsid w:val="00711E17"/>
    <w:rsid w:val="007122CB"/>
    <w:rsid w:val="007125EC"/>
    <w:rsid w:val="00712616"/>
    <w:rsid w:val="00712B7F"/>
    <w:rsid w:val="00712E2B"/>
    <w:rsid w:val="007136AE"/>
    <w:rsid w:val="00713B15"/>
    <w:rsid w:val="007142C5"/>
    <w:rsid w:val="007149C1"/>
    <w:rsid w:val="00715867"/>
    <w:rsid w:val="00715D0C"/>
    <w:rsid w:val="0071603A"/>
    <w:rsid w:val="00716781"/>
    <w:rsid w:val="00717CC0"/>
    <w:rsid w:val="0072046E"/>
    <w:rsid w:val="00720EE8"/>
    <w:rsid w:val="00720FF1"/>
    <w:rsid w:val="00721572"/>
    <w:rsid w:val="00721CB9"/>
    <w:rsid w:val="007220C8"/>
    <w:rsid w:val="0072241A"/>
    <w:rsid w:val="00722BA9"/>
    <w:rsid w:val="00722D38"/>
    <w:rsid w:val="00722DCA"/>
    <w:rsid w:val="00722F22"/>
    <w:rsid w:val="00724AAE"/>
    <w:rsid w:val="00724D12"/>
    <w:rsid w:val="007255D2"/>
    <w:rsid w:val="0072587B"/>
    <w:rsid w:val="00725A79"/>
    <w:rsid w:val="00725B3B"/>
    <w:rsid w:val="00725E7A"/>
    <w:rsid w:val="00726054"/>
    <w:rsid w:val="00726765"/>
    <w:rsid w:val="00726D2B"/>
    <w:rsid w:val="0072734B"/>
    <w:rsid w:val="007273D4"/>
    <w:rsid w:val="00727433"/>
    <w:rsid w:val="007277FF"/>
    <w:rsid w:val="00727BC9"/>
    <w:rsid w:val="00727CD2"/>
    <w:rsid w:val="007301BF"/>
    <w:rsid w:val="00730880"/>
    <w:rsid w:val="007309A1"/>
    <w:rsid w:val="007315F2"/>
    <w:rsid w:val="0073180C"/>
    <w:rsid w:val="00731D1B"/>
    <w:rsid w:val="007321FF"/>
    <w:rsid w:val="00732238"/>
    <w:rsid w:val="00732B5C"/>
    <w:rsid w:val="00732B6D"/>
    <w:rsid w:val="00732DBB"/>
    <w:rsid w:val="007332D0"/>
    <w:rsid w:val="007334C9"/>
    <w:rsid w:val="007336F5"/>
    <w:rsid w:val="007337DB"/>
    <w:rsid w:val="00733EBD"/>
    <w:rsid w:val="0073414A"/>
    <w:rsid w:val="00734501"/>
    <w:rsid w:val="0073484A"/>
    <w:rsid w:val="00734D8A"/>
    <w:rsid w:val="007350E9"/>
    <w:rsid w:val="00735416"/>
    <w:rsid w:val="0073565E"/>
    <w:rsid w:val="00736051"/>
    <w:rsid w:val="00737E89"/>
    <w:rsid w:val="00740117"/>
    <w:rsid w:val="00740CD7"/>
    <w:rsid w:val="007410EF"/>
    <w:rsid w:val="00741624"/>
    <w:rsid w:val="00742798"/>
    <w:rsid w:val="00742C9E"/>
    <w:rsid w:val="00743380"/>
    <w:rsid w:val="00743E00"/>
    <w:rsid w:val="00743F7E"/>
    <w:rsid w:val="0074484A"/>
    <w:rsid w:val="00745161"/>
    <w:rsid w:val="00745BFD"/>
    <w:rsid w:val="00746431"/>
    <w:rsid w:val="00746513"/>
    <w:rsid w:val="007465B4"/>
    <w:rsid w:val="00746B28"/>
    <w:rsid w:val="00746B30"/>
    <w:rsid w:val="00746F9C"/>
    <w:rsid w:val="00747494"/>
    <w:rsid w:val="00747687"/>
    <w:rsid w:val="00747E62"/>
    <w:rsid w:val="0075056B"/>
    <w:rsid w:val="007509C5"/>
    <w:rsid w:val="00750B20"/>
    <w:rsid w:val="007511C7"/>
    <w:rsid w:val="007524A0"/>
    <w:rsid w:val="00753AE4"/>
    <w:rsid w:val="00753E3E"/>
    <w:rsid w:val="00754801"/>
    <w:rsid w:val="00754941"/>
    <w:rsid w:val="00754BD0"/>
    <w:rsid w:val="00754D9C"/>
    <w:rsid w:val="00755591"/>
    <w:rsid w:val="007555CD"/>
    <w:rsid w:val="0075564C"/>
    <w:rsid w:val="00755939"/>
    <w:rsid w:val="00756742"/>
    <w:rsid w:val="007568B0"/>
    <w:rsid w:val="00756B34"/>
    <w:rsid w:val="0075708B"/>
    <w:rsid w:val="007572B0"/>
    <w:rsid w:val="00761B1A"/>
    <w:rsid w:val="0076201B"/>
    <w:rsid w:val="007620A9"/>
    <w:rsid w:val="007630BA"/>
    <w:rsid w:val="00763165"/>
    <w:rsid w:val="0076338C"/>
    <w:rsid w:val="00763828"/>
    <w:rsid w:val="00764058"/>
    <w:rsid w:val="00764149"/>
    <w:rsid w:val="00765101"/>
    <w:rsid w:val="007661A6"/>
    <w:rsid w:val="00767C83"/>
    <w:rsid w:val="00770795"/>
    <w:rsid w:val="007710C6"/>
    <w:rsid w:val="00771FDC"/>
    <w:rsid w:val="00773829"/>
    <w:rsid w:val="00774102"/>
    <w:rsid w:val="00774200"/>
    <w:rsid w:val="00774484"/>
    <w:rsid w:val="007746C3"/>
    <w:rsid w:val="00775B8E"/>
    <w:rsid w:val="00775BF7"/>
    <w:rsid w:val="00776062"/>
    <w:rsid w:val="00776073"/>
    <w:rsid w:val="007760DD"/>
    <w:rsid w:val="007761ED"/>
    <w:rsid w:val="00776564"/>
    <w:rsid w:val="007766C8"/>
    <w:rsid w:val="00777442"/>
    <w:rsid w:val="0077755B"/>
    <w:rsid w:val="00780005"/>
    <w:rsid w:val="00780390"/>
    <w:rsid w:val="00781188"/>
    <w:rsid w:val="00781327"/>
    <w:rsid w:val="0078234C"/>
    <w:rsid w:val="007823E6"/>
    <w:rsid w:val="00782737"/>
    <w:rsid w:val="00782D9E"/>
    <w:rsid w:val="00784048"/>
    <w:rsid w:val="0078407B"/>
    <w:rsid w:val="007845B7"/>
    <w:rsid w:val="00784A5F"/>
    <w:rsid w:val="00784FE1"/>
    <w:rsid w:val="0078513A"/>
    <w:rsid w:val="00785362"/>
    <w:rsid w:val="00785AB4"/>
    <w:rsid w:val="00786688"/>
    <w:rsid w:val="00786DE2"/>
    <w:rsid w:val="0078747C"/>
    <w:rsid w:val="0079017A"/>
    <w:rsid w:val="00790391"/>
    <w:rsid w:val="00790F62"/>
    <w:rsid w:val="00791DBC"/>
    <w:rsid w:val="00791ED1"/>
    <w:rsid w:val="00792E58"/>
    <w:rsid w:val="00793B9A"/>
    <w:rsid w:val="00793C9D"/>
    <w:rsid w:val="00793FED"/>
    <w:rsid w:val="007944F3"/>
    <w:rsid w:val="00794A89"/>
    <w:rsid w:val="00794ABC"/>
    <w:rsid w:val="00794C4B"/>
    <w:rsid w:val="007964FC"/>
    <w:rsid w:val="00796918"/>
    <w:rsid w:val="00796A65"/>
    <w:rsid w:val="00796B91"/>
    <w:rsid w:val="00796C95"/>
    <w:rsid w:val="007973D2"/>
    <w:rsid w:val="007976B5"/>
    <w:rsid w:val="0079782E"/>
    <w:rsid w:val="00797C17"/>
    <w:rsid w:val="00797E40"/>
    <w:rsid w:val="00797E4B"/>
    <w:rsid w:val="007A00B8"/>
    <w:rsid w:val="007A0411"/>
    <w:rsid w:val="007A05EF"/>
    <w:rsid w:val="007A06B1"/>
    <w:rsid w:val="007A099C"/>
    <w:rsid w:val="007A09AA"/>
    <w:rsid w:val="007A1E4E"/>
    <w:rsid w:val="007A2350"/>
    <w:rsid w:val="007A28B9"/>
    <w:rsid w:val="007A2A6F"/>
    <w:rsid w:val="007A2F70"/>
    <w:rsid w:val="007A3306"/>
    <w:rsid w:val="007A3605"/>
    <w:rsid w:val="007A3BA5"/>
    <w:rsid w:val="007A3BCF"/>
    <w:rsid w:val="007A40D3"/>
    <w:rsid w:val="007A4D46"/>
    <w:rsid w:val="007A54A9"/>
    <w:rsid w:val="007A597E"/>
    <w:rsid w:val="007A5E7B"/>
    <w:rsid w:val="007A696F"/>
    <w:rsid w:val="007A71D3"/>
    <w:rsid w:val="007A73B6"/>
    <w:rsid w:val="007A7567"/>
    <w:rsid w:val="007A7828"/>
    <w:rsid w:val="007B0368"/>
    <w:rsid w:val="007B0488"/>
    <w:rsid w:val="007B058F"/>
    <w:rsid w:val="007B1BAA"/>
    <w:rsid w:val="007B1DAA"/>
    <w:rsid w:val="007B2898"/>
    <w:rsid w:val="007B3147"/>
    <w:rsid w:val="007B44AE"/>
    <w:rsid w:val="007B4808"/>
    <w:rsid w:val="007B4FB2"/>
    <w:rsid w:val="007B5EDE"/>
    <w:rsid w:val="007B5F25"/>
    <w:rsid w:val="007B62E0"/>
    <w:rsid w:val="007B638D"/>
    <w:rsid w:val="007B7008"/>
    <w:rsid w:val="007B7443"/>
    <w:rsid w:val="007B7C23"/>
    <w:rsid w:val="007C077E"/>
    <w:rsid w:val="007C0C87"/>
    <w:rsid w:val="007C12FC"/>
    <w:rsid w:val="007C1530"/>
    <w:rsid w:val="007C1775"/>
    <w:rsid w:val="007C1930"/>
    <w:rsid w:val="007C27A6"/>
    <w:rsid w:val="007C2ED9"/>
    <w:rsid w:val="007C3737"/>
    <w:rsid w:val="007C3794"/>
    <w:rsid w:val="007C3B42"/>
    <w:rsid w:val="007C3F90"/>
    <w:rsid w:val="007C3FD8"/>
    <w:rsid w:val="007C58A0"/>
    <w:rsid w:val="007C5AAC"/>
    <w:rsid w:val="007C5C9A"/>
    <w:rsid w:val="007C667E"/>
    <w:rsid w:val="007C688C"/>
    <w:rsid w:val="007C6F7F"/>
    <w:rsid w:val="007C715C"/>
    <w:rsid w:val="007C71B5"/>
    <w:rsid w:val="007C770C"/>
    <w:rsid w:val="007C7C16"/>
    <w:rsid w:val="007C7E03"/>
    <w:rsid w:val="007C7E7E"/>
    <w:rsid w:val="007D06E1"/>
    <w:rsid w:val="007D0E2C"/>
    <w:rsid w:val="007D12B9"/>
    <w:rsid w:val="007D147C"/>
    <w:rsid w:val="007D15B0"/>
    <w:rsid w:val="007D174F"/>
    <w:rsid w:val="007D258F"/>
    <w:rsid w:val="007D2E0D"/>
    <w:rsid w:val="007D30FB"/>
    <w:rsid w:val="007D3727"/>
    <w:rsid w:val="007D39AB"/>
    <w:rsid w:val="007D5769"/>
    <w:rsid w:val="007D598E"/>
    <w:rsid w:val="007D6261"/>
    <w:rsid w:val="007D6C1A"/>
    <w:rsid w:val="007D7B51"/>
    <w:rsid w:val="007E03D0"/>
    <w:rsid w:val="007E1991"/>
    <w:rsid w:val="007E1F89"/>
    <w:rsid w:val="007E206C"/>
    <w:rsid w:val="007E2BD2"/>
    <w:rsid w:val="007E493B"/>
    <w:rsid w:val="007E4C2F"/>
    <w:rsid w:val="007E58B0"/>
    <w:rsid w:val="007E58B1"/>
    <w:rsid w:val="007E5B01"/>
    <w:rsid w:val="007E5CB8"/>
    <w:rsid w:val="007E68F0"/>
    <w:rsid w:val="007E751F"/>
    <w:rsid w:val="007E7A00"/>
    <w:rsid w:val="007E7D98"/>
    <w:rsid w:val="007E7E61"/>
    <w:rsid w:val="007F00D2"/>
    <w:rsid w:val="007F08DC"/>
    <w:rsid w:val="007F0BF6"/>
    <w:rsid w:val="007F1087"/>
    <w:rsid w:val="007F1578"/>
    <w:rsid w:val="007F2277"/>
    <w:rsid w:val="007F22D3"/>
    <w:rsid w:val="007F278E"/>
    <w:rsid w:val="007F2DE2"/>
    <w:rsid w:val="007F2F01"/>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5DF"/>
    <w:rsid w:val="0080174E"/>
    <w:rsid w:val="008024F8"/>
    <w:rsid w:val="00802EE0"/>
    <w:rsid w:val="00803277"/>
    <w:rsid w:val="00804E6C"/>
    <w:rsid w:val="008056FF"/>
    <w:rsid w:val="00805812"/>
    <w:rsid w:val="00805C15"/>
    <w:rsid w:val="008062E7"/>
    <w:rsid w:val="00806D1D"/>
    <w:rsid w:val="00806F2B"/>
    <w:rsid w:val="008077F7"/>
    <w:rsid w:val="008078A8"/>
    <w:rsid w:val="00807A6C"/>
    <w:rsid w:val="00810783"/>
    <w:rsid w:val="00811E60"/>
    <w:rsid w:val="0081249C"/>
    <w:rsid w:val="008124A8"/>
    <w:rsid w:val="00812877"/>
    <w:rsid w:val="00812C82"/>
    <w:rsid w:val="00812F6A"/>
    <w:rsid w:val="00814617"/>
    <w:rsid w:val="00814682"/>
    <w:rsid w:val="00814706"/>
    <w:rsid w:val="008155E4"/>
    <w:rsid w:val="00815AEC"/>
    <w:rsid w:val="00815FEF"/>
    <w:rsid w:val="00816A97"/>
    <w:rsid w:val="00816C68"/>
    <w:rsid w:val="00817244"/>
    <w:rsid w:val="008173C9"/>
    <w:rsid w:val="00817640"/>
    <w:rsid w:val="00817668"/>
    <w:rsid w:val="0081789D"/>
    <w:rsid w:val="00817A3B"/>
    <w:rsid w:val="008200D4"/>
    <w:rsid w:val="008204D7"/>
    <w:rsid w:val="008207F1"/>
    <w:rsid w:val="00821ADE"/>
    <w:rsid w:val="00821F16"/>
    <w:rsid w:val="0082215B"/>
    <w:rsid w:val="00822443"/>
    <w:rsid w:val="0082261B"/>
    <w:rsid w:val="00822628"/>
    <w:rsid w:val="00822F74"/>
    <w:rsid w:val="00823020"/>
    <w:rsid w:val="008233E0"/>
    <w:rsid w:val="00823525"/>
    <w:rsid w:val="00823780"/>
    <w:rsid w:val="0082379F"/>
    <w:rsid w:val="00824792"/>
    <w:rsid w:val="00824C7D"/>
    <w:rsid w:val="00825181"/>
    <w:rsid w:val="00826AF2"/>
    <w:rsid w:val="00827178"/>
    <w:rsid w:val="0082725C"/>
    <w:rsid w:val="00827CCA"/>
    <w:rsid w:val="0083089E"/>
    <w:rsid w:val="00830ADA"/>
    <w:rsid w:val="00830D31"/>
    <w:rsid w:val="00831187"/>
    <w:rsid w:val="008314DD"/>
    <w:rsid w:val="0083156E"/>
    <w:rsid w:val="00831DE2"/>
    <w:rsid w:val="00832A64"/>
    <w:rsid w:val="00834259"/>
    <w:rsid w:val="008348D2"/>
    <w:rsid w:val="00834912"/>
    <w:rsid w:val="00834F80"/>
    <w:rsid w:val="00835640"/>
    <w:rsid w:val="00835CF9"/>
    <w:rsid w:val="00837B4F"/>
    <w:rsid w:val="008403D1"/>
    <w:rsid w:val="008410E4"/>
    <w:rsid w:val="008411F7"/>
    <w:rsid w:val="00841B5D"/>
    <w:rsid w:val="00842BE7"/>
    <w:rsid w:val="00843261"/>
    <w:rsid w:val="00843280"/>
    <w:rsid w:val="00843588"/>
    <w:rsid w:val="008439B9"/>
    <w:rsid w:val="00843A1D"/>
    <w:rsid w:val="00845942"/>
    <w:rsid w:val="00845AEA"/>
    <w:rsid w:val="00845FF8"/>
    <w:rsid w:val="008467BB"/>
    <w:rsid w:val="008468E5"/>
    <w:rsid w:val="0084690C"/>
    <w:rsid w:val="00846D5B"/>
    <w:rsid w:val="0085079B"/>
    <w:rsid w:val="00851C23"/>
    <w:rsid w:val="008520A3"/>
    <w:rsid w:val="008521F8"/>
    <w:rsid w:val="008522B0"/>
    <w:rsid w:val="00852306"/>
    <w:rsid w:val="00852458"/>
    <w:rsid w:val="0085266C"/>
    <w:rsid w:val="00852994"/>
    <w:rsid w:val="00852BB3"/>
    <w:rsid w:val="00853077"/>
    <w:rsid w:val="00853D7A"/>
    <w:rsid w:val="00853D99"/>
    <w:rsid w:val="0085471D"/>
    <w:rsid w:val="0085487D"/>
    <w:rsid w:val="0085498B"/>
    <w:rsid w:val="00855137"/>
    <w:rsid w:val="008556A5"/>
    <w:rsid w:val="008565A6"/>
    <w:rsid w:val="0085687E"/>
    <w:rsid w:val="00856B43"/>
    <w:rsid w:val="00857C94"/>
    <w:rsid w:val="008602AF"/>
    <w:rsid w:val="008604F6"/>
    <w:rsid w:val="0086098A"/>
    <w:rsid w:val="00862E94"/>
    <w:rsid w:val="00863A7E"/>
    <w:rsid w:val="00863EE6"/>
    <w:rsid w:val="00864BE9"/>
    <w:rsid w:val="00865F78"/>
    <w:rsid w:val="008665AA"/>
    <w:rsid w:val="008665FC"/>
    <w:rsid w:val="008669F0"/>
    <w:rsid w:val="00867819"/>
    <w:rsid w:val="008678BC"/>
    <w:rsid w:val="00867910"/>
    <w:rsid w:val="00867A6A"/>
    <w:rsid w:val="00867C10"/>
    <w:rsid w:val="00867D41"/>
    <w:rsid w:val="00870295"/>
    <w:rsid w:val="00870A8F"/>
    <w:rsid w:val="008713C5"/>
    <w:rsid w:val="0087175C"/>
    <w:rsid w:val="00871B08"/>
    <w:rsid w:val="008723A3"/>
    <w:rsid w:val="00873068"/>
    <w:rsid w:val="0087396D"/>
    <w:rsid w:val="00873B20"/>
    <w:rsid w:val="00873F4C"/>
    <w:rsid w:val="00874B70"/>
    <w:rsid w:val="0087584D"/>
    <w:rsid w:val="00875DC3"/>
    <w:rsid w:val="00875F9C"/>
    <w:rsid w:val="00876A07"/>
    <w:rsid w:val="0087744C"/>
    <w:rsid w:val="00880140"/>
    <w:rsid w:val="00880F89"/>
    <w:rsid w:val="008810D1"/>
    <w:rsid w:val="008811AF"/>
    <w:rsid w:val="00881A8D"/>
    <w:rsid w:val="00881E16"/>
    <w:rsid w:val="00882BF0"/>
    <w:rsid w:val="00883324"/>
    <w:rsid w:val="008834F3"/>
    <w:rsid w:val="00883A57"/>
    <w:rsid w:val="008845F1"/>
    <w:rsid w:val="008846F3"/>
    <w:rsid w:val="00884961"/>
    <w:rsid w:val="00884AC0"/>
    <w:rsid w:val="00884BE8"/>
    <w:rsid w:val="008852C3"/>
    <w:rsid w:val="0088676F"/>
    <w:rsid w:val="008876E0"/>
    <w:rsid w:val="00887E39"/>
    <w:rsid w:val="00890021"/>
    <w:rsid w:val="00890620"/>
    <w:rsid w:val="0089090F"/>
    <w:rsid w:val="00890EC3"/>
    <w:rsid w:val="00891109"/>
    <w:rsid w:val="00891E40"/>
    <w:rsid w:val="008922A1"/>
    <w:rsid w:val="00892354"/>
    <w:rsid w:val="00892432"/>
    <w:rsid w:val="00892464"/>
    <w:rsid w:val="00893505"/>
    <w:rsid w:val="00893566"/>
    <w:rsid w:val="00893F42"/>
    <w:rsid w:val="00894001"/>
    <w:rsid w:val="008941E6"/>
    <w:rsid w:val="008945BB"/>
    <w:rsid w:val="0089463E"/>
    <w:rsid w:val="00895164"/>
    <w:rsid w:val="00896284"/>
    <w:rsid w:val="008964A8"/>
    <w:rsid w:val="0089693C"/>
    <w:rsid w:val="00897593"/>
    <w:rsid w:val="0089779D"/>
    <w:rsid w:val="00897930"/>
    <w:rsid w:val="00897E35"/>
    <w:rsid w:val="00897E58"/>
    <w:rsid w:val="008A14E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2EAE"/>
    <w:rsid w:val="008B3542"/>
    <w:rsid w:val="008B3F4D"/>
    <w:rsid w:val="008B42BA"/>
    <w:rsid w:val="008B46EB"/>
    <w:rsid w:val="008B4F63"/>
    <w:rsid w:val="008B52C7"/>
    <w:rsid w:val="008B674C"/>
    <w:rsid w:val="008B699D"/>
    <w:rsid w:val="008B7247"/>
    <w:rsid w:val="008B7A2D"/>
    <w:rsid w:val="008C03FE"/>
    <w:rsid w:val="008C14A0"/>
    <w:rsid w:val="008C1D27"/>
    <w:rsid w:val="008C234D"/>
    <w:rsid w:val="008C2D72"/>
    <w:rsid w:val="008C35CD"/>
    <w:rsid w:val="008C3718"/>
    <w:rsid w:val="008C4049"/>
    <w:rsid w:val="008C4507"/>
    <w:rsid w:val="008C4907"/>
    <w:rsid w:val="008C4998"/>
    <w:rsid w:val="008C5356"/>
    <w:rsid w:val="008C5414"/>
    <w:rsid w:val="008C630C"/>
    <w:rsid w:val="008C675C"/>
    <w:rsid w:val="008C6A85"/>
    <w:rsid w:val="008C6F42"/>
    <w:rsid w:val="008C6F74"/>
    <w:rsid w:val="008C71B4"/>
    <w:rsid w:val="008C7853"/>
    <w:rsid w:val="008C7862"/>
    <w:rsid w:val="008C7B55"/>
    <w:rsid w:val="008D034B"/>
    <w:rsid w:val="008D0CAD"/>
    <w:rsid w:val="008D1A57"/>
    <w:rsid w:val="008D2016"/>
    <w:rsid w:val="008D27A5"/>
    <w:rsid w:val="008D29F8"/>
    <w:rsid w:val="008D2CFE"/>
    <w:rsid w:val="008D36FD"/>
    <w:rsid w:val="008D3D14"/>
    <w:rsid w:val="008D3E49"/>
    <w:rsid w:val="008D40A3"/>
    <w:rsid w:val="008D4BD9"/>
    <w:rsid w:val="008D5539"/>
    <w:rsid w:val="008D5744"/>
    <w:rsid w:val="008D588F"/>
    <w:rsid w:val="008D6056"/>
    <w:rsid w:val="008D671D"/>
    <w:rsid w:val="008D7054"/>
    <w:rsid w:val="008D73FC"/>
    <w:rsid w:val="008D76F7"/>
    <w:rsid w:val="008D7BA4"/>
    <w:rsid w:val="008E0072"/>
    <w:rsid w:val="008E125E"/>
    <w:rsid w:val="008E12C2"/>
    <w:rsid w:val="008E130D"/>
    <w:rsid w:val="008E152E"/>
    <w:rsid w:val="008E1BE2"/>
    <w:rsid w:val="008E220C"/>
    <w:rsid w:val="008E236D"/>
    <w:rsid w:val="008E2592"/>
    <w:rsid w:val="008E38C5"/>
    <w:rsid w:val="008E3DF6"/>
    <w:rsid w:val="008E3FC3"/>
    <w:rsid w:val="008E483F"/>
    <w:rsid w:val="008E4B38"/>
    <w:rsid w:val="008E5081"/>
    <w:rsid w:val="008E522B"/>
    <w:rsid w:val="008E5765"/>
    <w:rsid w:val="008E6320"/>
    <w:rsid w:val="008E655A"/>
    <w:rsid w:val="008E6805"/>
    <w:rsid w:val="008E6D81"/>
    <w:rsid w:val="008E7694"/>
    <w:rsid w:val="008F01FB"/>
    <w:rsid w:val="008F0AFF"/>
    <w:rsid w:val="008F0EA3"/>
    <w:rsid w:val="008F1267"/>
    <w:rsid w:val="008F17C1"/>
    <w:rsid w:val="008F1C5E"/>
    <w:rsid w:val="008F1E8A"/>
    <w:rsid w:val="008F2180"/>
    <w:rsid w:val="008F24C6"/>
    <w:rsid w:val="008F2778"/>
    <w:rsid w:val="008F279D"/>
    <w:rsid w:val="008F2F41"/>
    <w:rsid w:val="008F3232"/>
    <w:rsid w:val="008F342E"/>
    <w:rsid w:val="008F3684"/>
    <w:rsid w:val="008F3C7D"/>
    <w:rsid w:val="008F3D19"/>
    <w:rsid w:val="008F3E57"/>
    <w:rsid w:val="008F4064"/>
    <w:rsid w:val="008F4771"/>
    <w:rsid w:val="008F493E"/>
    <w:rsid w:val="008F4BD2"/>
    <w:rsid w:val="008F4CAE"/>
    <w:rsid w:val="008F553A"/>
    <w:rsid w:val="008F5909"/>
    <w:rsid w:val="008F59BB"/>
    <w:rsid w:val="008F59CE"/>
    <w:rsid w:val="008F6A04"/>
    <w:rsid w:val="008F762E"/>
    <w:rsid w:val="008F7665"/>
    <w:rsid w:val="008F7C8B"/>
    <w:rsid w:val="008F7D44"/>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8B1"/>
    <w:rsid w:val="00904DA3"/>
    <w:rsid w:val="00905437"/>
    <w:rsid w:val="0090584B"/>
    <w:rsid w:val="0090595D"/>
    <w:rsid w:val="00906735"/>
    <w:rsid w:val="009067F9"/>
    <w:rsid w:val="009073C8"/>
    <w:rsid w:val="00907C36"/>
    <w:rsid w:val="00910542"/>
    <w:rsid w:val="00910687"/>
    <w:rsid w:val="00910981"/>
    <w:rsid w:val="00910AD8"/>
    <w:rsid w:val="00912414"/>
    <w:rsid w:val="00912847"/>
    <w:rsid w:val="00912897"/>
    <w:rsid w:val="00913049"/>
    <w:rsid w:val="009135AD"/>
    <w:rsid w:val="00913E0B"/>
    <w:rsid w:val="00913EF8"/>
    <w:rsid w:val="00914175"/>
    <w:rsid w:val="009145EA"/>
    <w:rsid w:val="00914A21"/>
    <w:rsid w:val="00914BE9"/>
    <w:rsid w:val="00914CDC"/>
    <w:rsid w:val="00915073"/>
    <w:rsid w:val="009152A9"/>
    <w:rsid w:val="0091603F"/>
    <w:rsid w:val="0091631D"/>
    <w:rsid w:val="00916699"/>
    <w:rsid w:val="009171E2"/>
    <w:rsid w:val="009202C5"/>
    <w:rsid w:val="00920687"/>
    <w:rsid w:val="0092181B"/>
    <w:rsid w:val="0092194D"/>
    <w:rsid w:val="009225B7"/>
    <w:rsid w:val="00922F83"/>
    <w:rsid w:val="0092303F"/>
    <w:rsid w:val="00923906"/>
    <w:rsid w:val="00923C31"/>
    <w:rsid w:val="00923C4B"/>
    <w:rsid w:val="0092426A"/>
    <w:rsid w:val="00924D41"/>
    <w:rsid w:val="009252AE"/>
    <w:rsid w:val="00925424"/>
    <w:rsid w:val="00926EF9"/>
    <w:rsid w:val="00927ADE"/>
    <w:rsid w:val="0093019F"/>
    <w:rsid w:val="0093057F"/>
    <w:rsid w:val="00930C98"/>
    <w:rsid w:val="0093258E"/>
    <w:rsid w:val="009329C4"/>
    <w:rsid w:val="00933248"/>
    <w:rsid w:val="00933294"/>
    <w:rsid w:val="00933C55"/>
    <w:rsid w:val="00933E04"/>
    <w:rsid w:val="00934061"/>
    <w:rsid w:val="009349A3"/>
    <w:rsid w:val="00934CB7"/>
    <w:rsid w:val="00935069"/>
    <w:rsid w:val="00935125"/>
    <w:rsid w:val="00936099"/>
    <w:rsid w:val="009368A8"/>
    <w:rsid w:val="009369BA"/>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2FAB"/>
    <w:rsid w:val="00943167"/>
    <w:rsid w:val="00943A24"/>
    <w:rsid w:val="00943E70"/>
    <w:rsid w:val="0094463F"/>
    <w:rsid w:val="009457F2"/>
    <w:rsid w:val="00945B6E"/>
    <w:rsid w:val="00945B9D"/>
    <w:rsid w:val="0094641F"/>
    <w:rsid w:val="00946936"/>
    <w:rsid w:val="00947489"/>
    <w:rsid w:val="00947496"/>
    <w:rsid w:val="0094772A"/>
    <w:rsid w:val="009502CD"/>
    <w:rsid w:val="0095055B"/>
    <w:rsid w:val="00950B0E"/>
    <w:rsid w:val="00950BE6"/>
    <w:rsid w:val="00951B81"/>
    <w:rsid w:val="009527C6"/>
    <w:rsid w:val="00953D9F"/>
    <w:rsid w:val="00954305"/>
    <w:rsid w:val="00954326"/>
    <w:rsid w:val="00954778"/>
    <w:rsid w:val="009547FD"/>
    <w:rsid w:val="009555CF"/>
    <w:rsid w:val="00955D1B"/>
    <w:rsid w:val="00955D3F"/>
    <w:rsid w:val="009601B1"/>
    <w:rsid w:val="00960AF2"/>
    <w:rsid w:val="009610AE"/>
    <w:rsid w:val="00961694"/>
    <w:rsid w:val="00961E22"/>
    <w:rsid w:val="00963074"/>
    <w:rsid w:val="0096366E"/>
    <w:rsid w:val="00963FDC"/>
    <w:rsid w:val="00964177"/>
    <w:rsid w:val="00964316"/>
    <w:rsid w:val="009647A9"/>
    <w:rsid w:val="009648D6"/>
    <w:rsid w:val="009650E2"/>
    <w:rsid w:val="00965270"/>
    <w:rsid w:val="0096579C"/>
    <w:rsid w:val="009657EB"/>
    <w:rsid w:val="009659F0"/>
    <w:rsid w:val="0096626E"/>
    <w:rsid w:val="00966DFA"/>
    <w:rsid w:val="00967059"/>
    <w:rsid w:val="00967223"/>
    <w:rsid w:val="00967DE5"/>
    <w:rsid w:val="00970D68"/>
    <w:rsid w:val="00970E2E"/>
    <w:rsid w:val="00971FD1"/>
    <w:rsid w:val="00972323"/>
    <w:rsid w:val="00972990"/>
    <w:rsid w:val="00972ABB"/>
    <w:rsid w:val="00972C33"/>
    <w:rsid w:val="00972C82"/>
    <w:rsid w:val="0097313B"/>
    <w:rsid w:val="009749D6"/>
    <w:rsid w:val="00974A89"/>
    <w:rsid w:val="009755BE"/>
    <w:rsid w:val="00975C17"/>
    <w:rsid w:val="00975FCC"/>
    <w:rsid w:val="009766B9"/>
    <w:rsid w:val="00976B25"/>
    <w:rsid w:val="00977AA0"/>
    <w:rsid w:val="00977D49"/>
    <w:rsid w:val="009805C4"/>
    <w:rsid w:val="00980E2C"/>
    <w:rsid w:val="00981508"/>
    <w:rsid w:val="009817B7"/>
    <w:rsid w:val="009817FB"/>
    <w:rsid w:val="00981FFF"/>
    <w:rsid w:val="0098239A"/>
    <w:rsid w:val="00984250"/>
    <w:rsid w:val="009852AC"/>
    <w:rsid w:val="00985A7F"/>
    <w:rsid w:val="00986276"/>
    <w:rsid w:val="00986D07"/>
    <w:rsid w:val="009871DE"/>
    <w:rsid w:val="00987759"/>
    <w:rsid w:val="00987B98"/>
    <w:rsid w:val="009903B0"/>
    <w:rsid w:val="0099152B"/>
    <w:rsid w:val="0099217F"/>
    <w:rsid w:val="009921EF"/>
    <w:rsid w:val="00992326"/>
    <w:rsid w:val="00992BA4"/>
    <w:rsid w:val="0099332F"/>
    <w:rsid w:val="0099446A"/>
    <w:rsid w:val="00994AE8"/>
    <w:rsid w:val="0099534A"/>
    <w:rsid w:val="0099586B"/>
    <w:rsid w:val="0099594D"/>
    <w:rsid w:val="00996809"/>
    <w:rsid w:val="00996D94"/>
    <w:rsid w:val="00996E5B"/>
    <w:rsid w:val="0099708C"/>
    <w:rsid w:val="00997583"/>
    <w:rsid w:val="009A0322"/>
    <w:rsid w:val="009A03DD"/>
    <w:rsid w:val="009A07DE"/>
    <w:rsid w:val="009A139F"/>
    <w:rsid w:val="009A1BAA"/>
    <w:rsid w:val="009A20C6"/>
    <w:rsid w:val="009A228E"/>
    <w:rsid w:val="009A22A9"/>
    <w:rsid w:val="009A38FC"/>
    <w:rsid w:val="009A39C4"/>
    <w:rsid w:val="009A3EA2"/>
    <w:rsid w:val="009A4910"/>
    <w:rsid w:val="009A4B9F"/>
    <w:rsid w:val="009A4ED0"/>
    <w:rsid w:val="009A4EE5"/>
    <w:rsid w:val="009A5234"/>
    <w:rsid w:val="009A52F9"/>
    <w:rsid w:val="009A5D4A"/>
    <w:rsid w:val="009A5E08"/>
    <w:rsid w:val="009A65FB"/>
    <w:rsid w:val="009A6AFA"/>
    <w:rsid w:val="009A734A"/>
    <w:rsid w:val="009A741E"/>
    <w:rsid w:val="009A7624"/>
    <w:rsid w:val="009A7EAC"/>
    <w:rsid w:val="009B0099"/>
    <w:rsid w:val="009B03B2"/>
    <w:rsid w:val="009B05DD"/>
    <w:rsid w:val="009B12D2"/>
    <w:rsid w:val="009B152B"/>
    <w:rsid w:val="009B1B3F"/>
    <w:rsid w:val="009B2AC7"/>
    <w:rsid w:val="009B3182"/>
    <w:rsid w:val="009B4258"/>
    <w:rsid w:val="009B53D7"/>
    <w:rsid w:val="009B5459"/>
    <w:rsid w:val="009B5863"/>
    <w:rsid w:val="009B7E64"/>
    <w:rsid w:val="009C0247"/>
    <w:rsid w:val="009C0C4E"/>
    <w:rsid w:val="009C1A1F"/>
    <w:rsid w:val="009C1B43"/>
    <w:rsid w:val="009C1FFD"/>
    <w:rsid w:val="009C2A09"/>
    <w:rsid w:val="009C2CD7"/>
    <w:rsid w:val="009C35D8"/>
    <w:rsid w:val="009C369E"/>
    <w:rsid w:val="009C3797"/>
    <w:rsid w:val="009C438F"/>
    <w:rsid w:val="009C4CA7"/>
    <w:rsid w:val="009C4DED"/>
    <w:rsid w:val="009C50DB"/>
    <w:rsid w:val="009C5719"/>
    <w:rsid w:val="009C5A32"/>
    <w:rsid w:val="009C6F96"/>
    <w:rsid w:val="009C7F89"/>
    <w:rsid w:val="009D012D"/>
    <w:rsid w:val="009D0508"/>
    <w:rsid w:val="009D072E"/>
    <w:rsid w:val="009D0E41"/>
    <w:rsid w:val="009D115C"/>
    <w:rsid w:val="009D1216"/>
    <w:rsid w:val="009D1485"/>
    <w:rsid w:val="009D1F87"/>
    <w:rsid w:val="009D22F1"/>
    <w:rsid w:val="009D2CE3"/>
    <w:rsid w:val="009D3268"/>
    <w:rsid w:val="009D39CA"/>
    <w:rsid w:val="009D4092"/>
    <w:rsid w:val="009D4F9C"/>
    <w:rsid w:val="009D5DAF"/>
    <w:rsid w:val="009D5EBC"/>
    <w:rsid w:val="009D6071"/>
    <w:rsid w:val="009D64F0"/>
    <w:rsid w:val="009D6860"/>
    <w:rsid w:val="009D748E"/>
    <w:rsid w:val="009D7732"/>
    <w:rsid w:val="009D7CE2"/>
    <w:rsid w:val="009E0774"/>
    <w:rsid w:val="009E1053"/>
    <w:rsid w:val="009E2D80"/>
    <w:rsid w:val="009E31DD"/>
    <w:rsid w:val="009E31FB"/>
    <w:rsid w:val="009E3527"/>
    <w:rsid w:val="009E3D2F"/>
    <w:rsid w:val="009E485F"/>
    <w:rsid w:val="009E5006"/>
    <w:rsid w:val="009E5675"/>
    <w:rsid w:val="009E6434"/>
    <w:rsid w:val="009E692A"/>
    <w:rsid w:val="009E7671"/>
    <w:rsid w:val="009E7795"/>
    <w:rsid w:val="009F0A80"/>
    <w:rsid w:val="009F0F17"/>
    <w:rsid w:val="009F1957"/>
    <w:rsid w:val="009F21B6"/>
    <w:rsid w:val="009F3102"/>
    <w:rsid w:val="009F3C93"/>
    <w:rsid w:val="009F3D2D"/>
    <w:rsid w:val="009F4D6B"/>
    <w:rsid w:val="009F4DAF"/>
    <w:rsid w:val="009F50FD"/>
    <w:rsid w:val="009F542F"/>
    <w:rsid w:val="009F566F"/>
    <w:rsid w:val="009F6B3D"/>
    <w:rsid w:val="009F6D94"/>
    <w:rsid w:val="009F7069"/>
    <w:rsid w:val="009F7170"/>
    <w:rsid w:val="009F7D13"/>
    <w:rsid w:val="00A00BE9"/>
    <w:rsid w:val="00A01092"/>
    <w:rsid w:val="00A01524"/>
    <w:rsid w:val="00A020D8"/>
    <w:rsid w:val="00A02303"/>
    <w:rsid w:val="00A02387"/>
    <w:rsid w:val="00A02C85"/>
    <w:rsid w:val="00A02E09"/>
    <w:rsid w:val="00A02F3F"/>
    <w:rsid w:val="00A033A2"/>
    <w:rsid w:val="00A033EC"/>
    <w:rsid w:val="00A039B3"/>
    <w:rsid w:val="00A041CE"/>
    <w:rsid w:val="00A050EE"/>
    <w:rsid w:val="00A05BB7"/>
    <w:rsid w:val="00A05F8C"/>
    <w:rsid w:val="00A061DE"/>
    <w:rsid w:val="00A069B9"/>
    <w:rsid w:val="00A06C24"/>
    <w:rsid w:val="00A06CEC"/>
    <w:rsid w:val="00A06EBB"/>
    <w:rsid w:val="00A077DF"/>
    <w:rsid w:val="00A10074"/>
    <w:rsid w:val="00A1020D"/>
    <w:rsid w:val="00A1030C"/>
    <w:rsid w:val="00A10BF9"/>
    <w:rsid w:val="00A1141A"/>
    <w:rsid w:val="00A1165E"/>
    <w:rsid w:val="00A11B0C"/>
    <w:rsid w:val="00A11B25"/>
    <w:rsid w:val="00A11EBC"/>
    <w:rsid w:val="00A12025"/>
    <w:rsid w:val="00A1274E"/>
    <w:rsid w:val="00A12A2D"/>
    <w:rsid w:val="00A130EB"/>
    <w:rsid w:val="00A139DE"/>
    <w:rsid w:val="00A140A1"/>
    <w:rsid w:val="00A144AB"/>
    <w:rsid w:val="00A14AC5"/>
    <w:rsid w:val="00A14BB6"/>
    <w:rsid w:val="00A14E0C"/>
    <w:rsid w:val="00A153AB"/>
    <w:rsid w:val="00A15600"/>
    <w:rsid w:val="00A1588C"/>
    <w:rsid w:val="00A15BFE"/>
    <w:rsid w:val="00A15FF2"/>
    <w:rsid w:val="00A1671D"/>
    <w:rsid w:val="00A16A51"/>
    <w:rsid w:val="00A17C4D"/>
    <w:rsid w:val="00A20930"/>
    <w:rsid w:val="00A20B86"/>
    <w:rsid w:val="00A21B33"/>
    <w:rsid w:val="00A2234D"/>
    <w:rsid w:val="00A22ADE"/>
    <w:rsid w:val="00A2374E"/>
    <w:rsid w:val="00A24232"/>
    <w:rsid w:val="00A24731"/>
    <w:rsid w:val="00A24741"/>
    <w:rsid w:val="00A249FF"/>
    <w:rsid w:val="00A24D69"/>
    <w:rsid w:val="00A250D7"/>
    <w:rsid w:val="00A25143"/>
    <w:rsid w:val="00A258B9"/>
    <w:rsid w:val="00A258C2"/>
    <w:rsid w:val="00A2595D"/>
    <w:rsid w:val="00A269B1"/>
    <w:rsid w:val="00A26F9C"/>
    <w:rsid w:val="00A2710F"/>
    <w:rsid w:val="00A272D3"/>
    <w:rsid w:val="00A3016E"/>
    <w:rsid w:val="00A30D36"/>
    <w:rsid w:val="00A314BF"/>
    <w:rsid w:val="00A33BB4"/>
    <w:rsid w:val="00A3410F"/>
    <w:rsid w:val="00A350C2"/>
    <w:rsid w:val="00A355EE"/>
    <w:rsid w:val="00A35E58"/>
    <w:rsid w:val="00A35F72"/>
    <w:rsid w:val="00A3635F"/>
    <w:rsid w:val="00A374F5"/>
    <w:rsid w:val="00A40993"/>
    <w:rsid w:val="00A40E8A"/>
    <w:rsid w:val="00A41530"/>
    <w:rsid w:val="00A4176C"/>
    <w:rsid w:val="00A42102"/>
    <w:rsid w:val="00A43351"/>
    <w:rsid w:val="00A43576"/>
    <w:rsid w:val="00A43624"/>
    <w:rsid w:val="00A43937"/>
    <w:rsid w:val="00A43D55"/>
    <w:rsid w:val="00A43ECA"/>
    <w:rsid w:val="00A4436C"/>
    <w:rsid w:val="00A443B1"/>
    <w:rsid w:val="00A44971"/>
    <w:rsid w:val="00A44C54"/>
    <w:rsid w:val="00A45A16"/>
    <w:rsid w:val="00A45E80"/>
    <w:rsid w:val="00A46364"/>
    <w:rsid w:val="00A4643B"/>
    <w:rsid w:val="00A47428"/>
    <w:rsid w:val="00A50C31"/>
    <w:rsid w:val="00A51393"/>
    <w:rsid w:val="00A51959"/>
    <w:rsid w:val="00A51B09"/>
    <w:rsid w:val="00A5202E"/>
    <w:rsid w:val="00A5216C"/>
    <w:rsid w:val="00A53AB4"/>
    <w:rsid w:val="00A541D6"/>
    <w:rsid w:val="00A5426E"/>
    <w:rsid w:val="00A546EA"/>
    <w:rsid w:val="00A54856"/>
    <w:rsid w:val="00A55017"/>
    <w:rsid w:val="00A553C7"/>
    <w:rsid w:val="00A5657A"/>
    <w:rsid w:val="00A566DF"/>
    <w:rsid w:val="00A56BC6"/>
    <w:rsid w:val="00A576A6"/>
    <w:rsid w:val="00A57AB7"/>
    <w:rsid w:val="00A6017D"/>
    <w:rsid w:val="00A617DE"/>
    <w:rsid w:val="00A61AB5"/>
    <w:rsid w:val="00A61BD8"/>
    <w:rsid w:val="00A622E8"/>
    <w:rsid w:val="00A630BB"/>
    <w:rsid w:val="00A63298"/>
    <w:rsid w:val="00A634E5"/>
    <w:rsid w:val="00A64D4A"/>
    <w:rsid w:val="00A64DB2"/>
    <w:rsid w:val="00A654D4"/>
    <w:rsid w:val="00A65985"/>
    <w:rsid w:val="00A660FD"/>
    <w:rsid w:val="00A664F1"/>
    <w:rsid w:val="00A668B7"/>
    <w:rsid w:val="00A66977"/>
    <w:rsid w:val="00A66CA1"/>
    <w:rsid w:val="00A66F2E"/>
    <w:rsid w:val="00A66F4F"/>
    <w:rsid w:val="00A67033"/>
    <w:rsid w:val="00A674D2"/>
    <w:rsid w:val="00A67686"/>
    <w:rsid w:val="00A67793"/>
    <w:rsid w:val="00A677C1"/>
    <w:rsid w:val="00A67A83"/>
    <w:rsid w:val="00A67AE0"/>
    <w:rsid w:val="00A67C33"/>
    <w:rsid w:val="00A7070B"/>
    <w:rsid w:val="00A7122A"/>
    <w:rsid w:val="00A712E8"/>
    <w:rsid w:val="00A71965"/>
    <w:rsid w:val="00A72561"/>
    <w:rsid w:val="00A725E7"/>
    <w:rsid w:val="00A727E1"/>
    <w:rsid w:val="00A73614"/>
    <w:rsid w:val="00A73770"/>
    <w:rsid w:val="00A73A40"/>
    <w:rsid w:val="00A74F14"/>
    <w:rsid w:val="00A752EC"/>
    <w:rsid w:val="00A7616A"/>
    <w:rsid w:val="00A7646A"/>
    <w:rsid w:val="00A7669C"/>
    <w:rsid w:val="00A7715E"/>
    <w:rsid w:val="00A778E7"/>
    <w:rsid w:val="00A80C27"/>
    <w:rsid w:val="00A811C3"/>
    <w:rsid w:val="00A812C9"/>
    <w:rsid w:val="00A8145B"/>
    <w:rsid w:val="00A81CEF"/>
    <w:rsid w:val="00A82373"/>
    <w:rsid w:val="00A82FAD"/>
    <w:rsid w:val="00A85516"/>
    <w:rsid w:val="00A86131"/>
    <w:rsid w:val="00A864AE"/>
    <w:rsid w:val="00A8651B"/>
    <w:rsid w:val="00A8690E"/>
    <w:rsid w:val="00A8691D"/>
    <w:rsid w:val="00A86934"/>
    <w:rsid w:val="00A86DBA"/>
    <w:rsid w:val="00A872C7"/>
    <w:rsid w:val="00A87DA8"/>
    <w:rsid w:val="00A90824"/>
    <w:rsid w:val="00A9193B"/>
    <w:rsid w:val="00A92103"/>
    <w:rsid w:val="00A924D1"/>
    <w:rsid w:val="00A94631"/>
    <w:rsid w:val="00A95033"/>
    <w:rsid w:val="00A95278"/>
    <w:rsid w:val="00A95883"/>
    <w:rsid w:val="00A95CB1"/>
    <w:rsid w:val="00A95EDC"/>
    <w:rsid w:val="00A964B8"/>
    <w:rsid w:val="00A96588"/>
    <w:rsid w:val="00A96EF6"/>
    <w:rsid w:val="00A97446"/>
    <w:rsid w:val="00A97730"/>
    <w:rsid w:val="00A97B1E"/>
    <w:rsid w:val="00AA037F"/>
    <w:rsid w:val="00AA051B"/>
    <w:rsid w:val="00AA075E"/>
    <w:rsid w:val="00AA1B1E"/>
    <w:rsid w:val="00AA251D"/>
    <w:rsid w:val="00AA25FB"/>
    <w:rsid w:val="00AA309D"/>
    <w:rsid w:val="00AA4E31"/>
    <w:rsid w:val="00AA5117"/>
    <w:rsid w:val="00AA513C"/>
    <w:rsid w:val="00AA536B"/>
    <w:rsid w:val="00AA5DE7"/>
    <w:rsid w:val="00AA5FE2"/>
    <w:rsid w:val="00AA79E3"/>
    <w:rsid w:val="00AB02F9"/>
    <w:rsid w:val="00AB07C9"/>
    <w:rsid w:val="00AB0854"/>
    <w:rsid w:val="00AB0D60"/>
    <w:rsid w:val="00AB234C"/>
    <w:rsid w:val="00AB25E6"/>
    <w:rsid w:val="00AB26EE"/>
    <w:rsid w:val="00AB2B22"/>
    <w:rsid w:val="00AB32C8"/>
    <w:rsid w:val="00AB37BA"/>
    <w:rsid w:val="00AB390D"/>
    <w:rsid w:val="00AB3E91"/>
    <w:rsid w:val="00AB459D"/>
    <w:rsid w:val="00AB50EB"/>
    <w:rsid w:val="00AB573F"/>
    <w:rsid w:val="00AB595F"/>
    <w:rsid w:val="00AB5F56"/>
    <w:rsid w:val="00AB764C"/>
    <w:rsid w:val="00AC1098"/>
    <w:rsid w:val="00AC1166"/>
    <w:rsid w:val="00AC1253"/>
    <w:rsid w:val="00AC1423"/>
    <w:rsid w:val="00AC175F"/>
    <w:rsid w:val="00AC1F1D"/>
    <w:rsid w:val="00AC23E2"/>
    <w:rsid w:val="00AC25B8"/>
    <w:rsid w:val="00AC2F19"/>
    <w:rsid w:val="00AC318F"/>
    <w:rsid w:val="00AC325E"/>
    <w:rsid w:val="00AC376C"/>
    <w:rsid w:val="00AC38D4"/>
    <w:rsid w:val="00AC452B"/>
    <w:rsid w:val="00AC5358"/>
    <w:rsid w:val="00AC59EF"/>
    <w:rsid w:val="00AC66EE"/>
    <w:rsid w:val="00AC6AC9"/>
    <w:rsid w:val="00AC7232"/>
    <w:rsid w:val="00AC7412"/>
    <w:rsid w:val="00AC7935"/>
    <w:rsid w:val="00AD06F3"/>
    <w:rsid w:val="00AD09D0"/>
    <w:rsid w:val="00AD11FE"/>
    <w:rsid w:val="00AD16E8"/>
    <w:rsid w:val="00AD19CD"/>
    <w:rsid w:val="00AD499F"/>
    <w:rsid w:val="00AD56F0"/>
    <w:rsid w:val="00AD5FE7"/>
    <w:rsid w:val="00AD6286"/>
    <w:rsid w:val="00AD62A0"/>
    <w:rsid w:val="00AD6A54"/>
    <w:rsid w:val="00AD769F"/>
    <w:rsid w:val="00AD7753"/>
    <w:rsid w:val="00AD7C61"/>
    <w:rsid w:val="00AD7F0A"/>
    <w:rsid w:val="00AE0024"/>
    <w:rsid w:val="00AE06EB"/>
    <w:rsid w:val="00AE08D6"/>
    <w:rsid w:val="00AE109D"/>
    <w:rsid w:val="00AE1D49"/>
    <w:rsid w:val="00AE1DB0"/>
    <w:rsid w:val="00AE1E48"/>
    <w:rsid w:val="00AE24C1"/>
    <w:rsid w:val="00AE2581"/>
    <w:rsid w:val="00AE2B56"/>
    <w:rsid w:val="00AE3723"/>
    <w:rsid w:val="00AE3957"/>
    <w:rsid w:val="00AE4B1E"/>
    <w:rsid w:val="00AE55A5"/>
    <w:rsid w:val="00AE5C0D"/>
    <w:rsid w:val="00AE6B8F"/>
    <w:rsid w:val="00AF0BFA"/>
    <w:rsid w:val="00AF0D06"/>
    <w:rsid w:val="00AF11CC"/>
    <w:rsid w:val="00AF12FC"/>
    <w:rsid w:val="00AF1394"/>
    <w:rsid w:val="00AF1627"/>
    <w:rsid w:val="00AF19F1"/>
    <w:rsid w:val="00AF1D16"/>
    <w:rsid w:val="00AF219E"/>
    <w:rsid w:val="00AF22C6"/>
    <w:rsid w:val="00AF29A2"/>
    <w:rsid w:val="00AF2DD8"/>
    <w:rsid w:val="00AF313E"/>
    <w:rsid w:val="00AF32DF"/>
    <w:rsid w:val="00AF32FB"/>
    <w:rsid w:val="00AF3C3D"/>
    <w:rsid w:val="00AF3D32"/>
    <w:rsid w:val="00AF3DAF"/>
    <w:rsid w:val="00AF4DCA"/>
    <w:rsid w:val="00AF4F6C"/>
    <w:rsid w:val="00AF51CC"/>
    <w:rsid w:val="00AF5509"/>
    <w:rsid w:val="00AF5867"/>
    <w:rsid w:val="00AF5A2E"/>
    <w:rsid w:val="00AF5C27"/>
    <w:rsid w:val="00AF6348"/>
    <w:rsid w:val="00AF646A"/>
    <w:rsid w:val="00AF69BA"/>
    <w:rsid w:val="00AF7344"/>
    <w:rsid w:val="00AF7EFD"/>
    <w:rsid w:val="00B0016B"/>
    <w:rsid w:val="00B00182"/>
    <w:rsid w:val="00B007D5"/>
    <w:rsid w:val="00B01C9C"/>
    <w:rsid w:val="00B01F3F"/>
    <w:rsid w:val="00B023CE"/>
    <w:rsid w:val="00B025AB"/>
    <w:rsid w:val="00B02F00"/>
    <w:rsid w:val="00B0319F"/>
    <w:rsid w:val="00B03469"/>
    <w:rsid w:val="00B04A53"/>
    <w:rsid w:val="00B04DAB"/>
    <w:rsid w:val="00B04E8F"/>
    <w:rsid w:val="00B06F57"/>
    <w:rsid w:val="00B073CB"/>
    <w:rsid w:val="00B07ACC"/>
    <w:rsid w:val="00B07EA2"/>
    <w:rsid w:val="00B102F4"/>
    <w:rsid w:val="00B10335"/>
    <w:rsid w:val="00B10380"/>
    <w:rsid w:val="00B10DEE"/>
    <w:rsid w:val="00B1174F"/>
    <w:rsid w:val="00B122AA"/>
    <w:rsid w:val="00B127E3"/>
    <w:rsid w:val="00B12E09"/>
    <w:rsid w:val="00B13182"/>
    <w:rsid w:val="00B131CC"/>
    <w:rsid w:val="00B137D0"/>
    <w:rsid w:val="00B137EF"/>
    <w:rsid w:val="00B14A56"/>
    <w:rsid w:val="00B14AF9"/>
    <w:rsid w:val="00B14BF8"/>
    <w:rsid w:val="00B14E91"/>
    <w:rsid w:val="00B1522F"/>
    <w:rsid w:val="00B152B8"/>
    <w:rsid w:val="00B15758"/>
    <w:rsid w:val="00B159B1"/>
    <w:rsid w:val="00B15AAC"/>
    <w:rsid w:val="00B16528"/>
    <w:rsid w:val="00B16BE1"/>
    <w:rsid w:val="00B17327"/>
    <w:rsid w:val="00B17C45"/>
    <w:rsid w:val="00B20513"/>
    <w:rsid w:val="00B20B1B"/>
    <w:rsid w:val="00B21685"/>
    <w:rsid w:val="00B220FE"/>
    <w:rsid w:val="00B223F0"/>
    <w:rsid w:val="00B226C2"/>
    <w:rsid w:val="00B22708"/>
    <w:rsid w:val="00B22E57"/>
    <w:rsid w:val="00B22F72"/>
    <w:rsid w:val="00B23818"/>
    <w:rsid w:val="00B23A0C"/>
    <w:rsid w:val="00B23AC1"/>
    <w:rsid w:val="00B23F0A"/>
    <w:rsid w:val="00B24B17"/>
    <w:rsid w:val="00B24DB2"/>
    <w:rsid w:val="00B24E2B"/>
    <w:rsid w:val="00B25F22"/>
    <w:rsid w:val="00B2623B"/>
    <w:rsid w:val="00B26A73"/>
    <w:rsid w:val="00B27462"/>
    <w:rsid w:val="00B276DE"/>
    <w:rsid w:val="00B27A9F"/>
    <w:rsid w:val="00B30478"/>
    <w:rsid w:val="00B3109A"/>
    <w:rsid w:val="00B311EF"/>
    <w:rsid w:val="00B319D0"/>
    <w:rsid w:val="00B3261F"/>
    <w:rsid w:val="00B332D7"/>
    <w:rsid w:val="00B34173"/>
    <w:rsid w:val="00B352AD"/>
    <w:rsid w:val="00B35575"/>
    <w:rsid w:val="00B35888"/>
    <w:rsid w:val="00B35A5F"/>
    <w:rsid w:val="00B35AAC"/>
    <w:rsid w:val="00B361DC"/>
    <w:rsid w:val="00B362AB"/>
    <w:rsid w:val="00B362C0"/>
    <w:rsid w:val="00B36F89"/>
    <w:rsid w:val="00B37A0C"/>
    <w:rsid w:val="00B4087E"/>
    <w:rsid w:val="00B4115B"/>
    <w:rsid w:val="00B4146A"/>
    <w:rsid w:val="00B414B9"/>
    <w:rsid w:val="00B419B8"/>
    <w:rsid w:val="00B41ECC"/>
    <w:rsid w:val="00B42D76"/>
    <w:rsid w:val="00B43A2A"/>
    <w:rsid w:val="00B4455E"/>
    <w:rsid w:val="00B44985"/>
    <w:rsid w:val="00B44CCA"/>
    <w:rsid w:val="00B45A34"/>
    <w:rsid w:val="00B45F77"/>
    <w:rsid w:val="00B4672F"/>
    <w:rsid w:val="00B4702A"/>
    <w:rsid w:val="00B52251"/>
    <w:rsid w:val="00B53369"/>
    <w:rsid w:val="00B53B06"/>
    <w:rsid w:val="00B53FA2"/>
    <w:rsid w:val="00B54446"/>
    <w:rsid w:val="00B545DC"/>
    <w:rsid w:val="00B54916"/>
    <w:rsid w:val="00B55A86"/>
    <w:rsid w:val="00B56325"/>
    <w:rsid w:val="00B5731C"/>
    <w:rsid w:val="00B57427"/>
    <w:rsid w:val="00B57911"/>
    <w:rsid w:val="00B600EE"/>
    <w:rsid w:val="00B602F5"/>
    <w:rsid w:val="00B6051E"/>
    <w:rsid w:val="00B6266A"/>
    <w:rsid w:val="00B62AEA"/>
    <w:rsid w:val="00B641BD"/>
    <w:rsid w:val="00B64D18"/>
    <w:rsid w:val="00B67135"/>
    <w:rsid w:val="00B67296"/>
    <w:rsid w:val="00B70D8E"/>
    <w:rsid w:val="00B70EA5"/>
    <w:rsid w:val="00B70FD3"/>
    <w:rsid w:val="00B718EA"/>
    <w:rsid w:val="00B729C8"/>
    <w:rsid w:val="00B73923"/>
    <w:rsid w:val="00B73B0D"/>
    <w:rsid w:val="00B75494"/>
    <w:rsid w:val="00B756BC"/>
    <w:rsid w:val="00B759CA"/>
    <w:rsid w:val="00B75CCB"/>
    <w:rsid w:val="00B7666C"/>
    <w:rsid w:val="00B767D7"/>
    <w:rsid w:val="00B76A6B"/>
    <w:rsid w:val="00B770D3"/>
    <w:rsid w:val="00B773AF"/>
    <w:rsid w:val="00B77577"/>
    <w:rsid w:val="00B775A4"/>
    <w:rsid w:val="00B80E01"/>
    <w:rsid w:val="00B81029"/>
    <w:rsid w:val="00B810B8"/>
    <w:rsid w:val="00B81695"/>
    <w:rsid w:val="00B81A48"/>
    <w:rsid w:val="00B81E56"/>
    <w:rsid w:val="00B82A7D"/>
    <w:rsid w:val="00B82AE9"/>
    <w:rsid w:val="00B82FC4"/>
    <w:rsid w:val="00B8485B"/>
    <w:rsid w:val="00B8487F"/>
    <w:rsid w:val="00B84E4E"/>
    <w:rsid w:val="00B8543F"/>
    <w:rsid w:val="00B854D1"/>
    <w:rsid w:val="00B860DC"/>
    <w:rsid w:val="00B86252"/>
    <w:rsid w:val="00B86BDE"/>
    <w:rsid w:val="00B90762"/>
    <w:rsid w:val="00B90EBA"/>
    <w:rsid w:val="00B91377"/>
    <w:rsid w:val="00B91D9D"/>
    <w:rsid w:val="00B92A16"/>
    <w:rsid w:val="00B931CA"/>
    <w:rsid w:val="00B933E6"/>
    <w:rsid w:val="00B93E9D"/>
    <w:rsid w:val="00B93EC5"/>
    <w:rsid w:val="00B9439D"/>
    <w:rsid w:val="00B94ED3"/>
    <w:rsid w:val="00B951ED"/>
    <w:rsid w:val="00B9537C"/>
    <w:rsid w:val="00B968CB"/>
    <w:rsid w:val="00B96F31"/>
    <w:rsid w:val="00B971B8"/>
    <w:rsid w:val="00B97569"/>
    <w:rsid w:val="00B97619"/>
    <w:rsid w:val="00B976BB"/>
    <w:rsid w:val="00BA0088"/>
    <w:rsid w:val="00BA0A6F"/>
    <w:rsid w:val="00BA0C99"/>
    <w:rsid w:val="00BA0F64"/>
    <w:rsid w:val="00BA1227"/>
    <w:rsid w:val="00BA1E28"/>
    <w:rsid w:val="00BA20EF"/>
    <w:rsid w:val="00BA2978"/>
    <w:rsid w:val="00BA37BD"/>
    <w:rsid w:val="00BA38B5"/>
    <w:rsid w:val="00BA4533"/>
    <w:rsid w:val="00BA4C23"/>
    <w:rsid w:val="00BA54F5"/>
    <w:rsid w:val="00BA60B0"/>
    <w:rsid w:val="00BA622D"/>
    <w:rsid w:val="00BA68C8"/>
    <w:rsid w:val="00BA6D9D"/>
    <w:rsid w:val="00BA7CAC"/>
    <w:rsid w:val="00BB0656"/>
    <w:rsid w:val="00BB0AE4"/>
    <w:rsid w:val="00BB1456"/>
    <w:rsid w:val="00BB18F1"/>
    <w:rsid w:val="00BB1B13"/>
    <w:rsid w:val="00BB1E23"/>
    <w:rsid w:val="00BB272D"/>
    <w:rsid w:val="00BB2A71"/>
    <w:rsid w:val="00BB2E34"/>
    <w:rsid w:val="00BB34C9"/>
    <w:rsid w:val="00BB428C"/>
    <w:rsid w:val="00BB4578"/>
    <w:rsid w:val="00BB4A64"/>
    <w:rsid w:val="00BB4AC9"/>
    <w:rsid w:val="00BB572F"/>
    <w:rsid w:val="00BB5F71"/>
    <w:rsid w:val="00BB605C"/>
    <w:rsid w:val="00BB60BC"/>
    <w:rsid w:val="00BB661B"/>
    <w:rsid w:val="00BB6A9D"/>
    <w:rsid w:val="00BB6AD4"/>
    <w:rsid w:val="00BB72FA"/>
    <w:rsid w:val="00BB7908"/>
    <w:rsid w:val="00BB7A36"/>
    <w:rsid w:val="00BB7E5E"/>
    <w:rsid w:val="00BC0F0B"/>
    <w:rsid w:val="00BC19B3"/>
    <w:rsid w:val="00BC221C"/>
    <w:rsid w:val="00BC357A"/>
    <w:rsid w:val="00BC3AB6"/>
    <w:rsid w:val="00BC3AC2"/>
    <w:rsid w:val="00BC3E95"/>
    <w:rsid w:val="00BC4E0A"/>
    <w:rsid w:val="00BC50FB"/>
    <w:rsid w:val="00BC5357"/>
    <w:rsid w:val="00BC555E"/>
    <w:rsid w:val="00BC5BB1"/>
    <w:rsid w:val="00BC6643"/>
    <w:rsid w:val="00BC6B8A"/>
    <w:rsid w:val="00BC727C"/>
    <w:rsid w:val="00BD00DC"/>
    <w:rsid w:val="00BD1AC8"/>
    <w:rsid w:val="00BD1ADC"/>
    <w:rsid w:val="00BD24B3"/>
    <w:rsid w:val="00BD2AB5"/>
    <w:rsid w:val="00BD427B"/>
    <w:rsid w:val="00BD4BC3"/>
    <w:rsid w:val="00BD4E34"/>
    <w:rsid w:val="00BD52B2"/>
    <w:rsid w:val="00BD5E4F"/>
    <w:rsid w:val="00BD6634"/>
    <w:rsid w:val="00BD6767"/>
    <w:rsid w:val="00BD6E84"/>
    <w:rsid w:val="00BD7377"/>
    <w:rsid w:val="00BE05C1"/>
    <w:rsid w:val="00BE0755"/>
    <w:rsid w:val="00BE081B"/>
    <w:rsid w:val="00BE0D27"/>
    <w:rsid w:val="00BE0DD4"/>
    <w:rsid w:val="00BE1DB2"/>
    <w:rsid w:val="00BE1F9D"/>
    <w:rsid w:val="00BE23C5"/>
    <w:rsid w:val="00BE282C"/>
    <w:rsid w:val="00BE2D1A"/>
    <w:rsid w:val="00BE2FB3"/>
    <w:rsid w:val="00BE305A"/>
    <w:rsid w:val="00BE3614"/>
    <w:rsid w:val="00BE384B"/>
    <w:rsid w:val="00BE46A4"/>
    <w:rsid w:val="00BE4BA3"/>
    <w:rsid w:val="00BE4F9B"/>
    <w:rsid w:val="00BE552C"/>
    <w:rsid w:val="00BE5903"/>
    <w:rsid w:val="00BE5A61"/>
    <w:rsid w:val="00BE5AF4"/>
    <w:rsid w:val="00BE5BF3"/>
    <w:rsid w:val="00BE5DA8"/>
    <w:rsid w:val="00BE6914"/>
    <w:rsid w:val="00BE78DB"/>
    <w:rsid w:val="00BE7C42"/>
    <w:rsid w:val="00BE7E13"/>
    <w:rsid w:val="00BF0673"/>
    <w:rsid w:val="00BF0ADB"/>
    <w:rsid w:val="00BF0BD1"/>
    <w:rsid w:val="00BF1166"/>
    <w:rsid w:val="00BF117C"/>
    <w:rsid w:val="00BF17AA"/>
    <w:rsid w:val="00BF19AA"/>
    <w:rsid w:val="00BF1C83"/>
    <w:rsid w:val="00BF1EB1"/>
    <w:rsid w:val="00BF2A6D"/>
    <w:rsid w:val="00BF2D8C"/>
    <w:rsid w:val="00BF3045"/>
    <w:rsid w:val="00BF3BA6"/>
    <w:rsid w:val="00BF4C7D"/>
    <w:rsid w:val="00BF51D2"/>
    <w:rsid w:val="00BF60D8"/>
    <w:rsid w:val="00BF611F"/>
    <w:rsid w:val="00BF68C3"/>
    <w:rsid w:val="00BF72A2"/>
    <w:rsid w:val="00BF74AF"/>
    <w:rsid w:val="00C00AA9"/>
    <w:rsid w:val="00C014BB"/>
    <w:rsid w:val="00C01872"/>
    <w:rsid w:val="00C01977"/>
    <w:rsid w:val="00C01A7C"/>
    <w:rsid w:val="00C01C32"/>
    <w:rsid w:val="00C02435"/>
    <w:rsid w:val="00C02D7C"/>
    <w:rsid w:val="00C0345D"/>
    <w:rsid w:val="00C03970"/>
    <w:rsid w:val="00C03A5F"/>
    <w:rsid w:val="00C04A22"/>
    <w:rsid w:val="00C04DC5"/>
    <w:rsid w:val="00C04E8F"/>
    <w:rsid w:val="00C05D3C"/>
    <w:rsid w:val="00C05E60"/>
    <w:rsid w:val="00C067B6"/>
    <w:rsid w:val="00C06965"/>
    <w:rsid w:val="00C06B2F"/>
    <w:rsid w:val="00C077C7"/>
    <w:rsid w:val="00C107EC"/>
    <w:rsid w:val="00C10BD8"/>
    <w:rsid w:val="00C11220"/>
    <w:rsid w:val="00C11E7C"/>
    <w:rsid w:val="00C12F03"/>
    <w:rsid w:val="00C1312D"/>
    <w:rsid w:val="00C133F0"/>
    <w:rsid w:val="00C13742"/>
    <w:rsid w:val="00C13924"/>
    <w:rsid w:val="00C139BB"/>
    <w:rsid w:val="00C14DA2"/>
    <w:rsid w:val="00C15235"/>
    <w:rsid w:val="00C15837"/>
    <w:rsid w:val="00C15A43"/>
    <w:rsid w:val="00C162B5"/>
    <w:rsid w:val="00C164B9"/>
    <w:rsid w:val="00C16C32"/>
    <w:rsid w:val="00C16F87"/>
    <w:rsid w:val="00C17232"/>
    <w:rsid w:val="00C174E9"/>
    <w:rsid w:val="00C17619"/>
    <w:rsid w:val="00C1770B"/>
    <w:rsid w:val="00C177F1"/>
    <w:rsid w:val="00C204E4"/>
    <w:rsid w:val="00C20601"/>
    <w:rsid w:val="00C20D1E"/>
    <w:rsid w:val="00C21934"/>
    <w:rsid w:val="00C21AB9"/>
    <w:rsid w:val="00C21EA2"/>
    <w:rsid w:val="00C21FCD"/>
    <w:rsid w:val="00C22A2A"/>
    <w:rsid w:val="00C22D75"/>
    <w:rsid w:val="00C2319E"/>
    <w:rsid w:val="00C2385B"/>
    <w:rsid w:val="00C2388D"/>
    <w:rsid w:val="00C23DDC"/>
    <w:rsid w:val="00C24321"/>
    <w:rsid w:val="00C24B4F"/>
    <w:rsid w:val="00C24C3B"/>
    <w:rsid w:val="00C24F88"/>
    <w:rsid w:val="00C259D7"/>
    <w:rsid w:val="00C2623B"/>
    <w:rsid w:val="00C2670B"/>
    <w:rsid w:val="00C27CA0"/>
    <w:rsid w:val="00C27FC5"/>
    <w:rsid w:val="00C3048C"/>
    <w:rsid w:val="00C317FB"/>
    <w:rsid w:val="00C31883"/>
    <w:rsid w:val="00C31B96"/>
    <w:rsid w:val="00C32262"/>
    <w:rsid w:val="00C3234B"/>
    <w:rsid w:val="00C323BE"/>
    <w:rsid w:val="00C3246C"/>
    <w:rsid w:val="00C32862"/>
    <w:rsid w:val="00C32AD8"/>
    <w:rsid w:val="00C32BF4"/>
    <w:rsid w:val="00C32F6C"/>
    <w:rsid w:val="00C33C11"/>
    <w:rsid w:val="00C33D7B"/>
    <w:rsid w:val="00C3417E"/>
    <w:rsid w:val="00C34E9C"/>
    <w:rsid w:val="00C35046"/>
    <w:rsid w:val="00C360B4"/>
    <w:rsid w:val="00C369B7"/>
    <w:rsid w:val="00C3707E"/>
    <w:rsid w:val="00C3722D"/>
    <w:rsid w:val="00C37E44"/>
    <w:rsid w:val="00C40F42"/>
    <w:rsid w:val="00C4128A"/>
    <w:rsid w:val="00C41704"/>
    <w:rsid w:val="00C41F46"/>
    <w:rsid w:val="00C42823"/>
    <w:rsid w:val="00C42915"/>
    <w:rsid w:val="00C42DE2"/>
    <w:rsid w:val="00C43CDC"/>
    <w:rsid w:val="00C4484F"/>
    <w:rsid w:val="00C44B20"/>
    <w:rsid w:val="00C451B3"/>
    <w:rsid w:val="00C45CCB"/>
    <w:rsid w:val="00C46043"/>
    <w:rsid w:val="00C46BAA"/>
    <w:rsid w:val="00C46FB0"/>
    <w:rsid w:val="00C4736A"/>
    <w:rsid w:val="00C476BE"/>
    <w:rsid w:val="00C47DA9"/>
    <w:rsid w:val="00C50E61"/>
    <w:rsid w:val="00C50F9C"/>
    <w:rsid w:val="00C511FF"/>
    <w:rsid w:val="00C514EA"/>
    <w:rsid w:val="00C51615"/>
    <w:rsid w:val="00C52280"/>
    <w:rsid w:val="00C523E9"/>
    <w:rsid w:val="00C526D1"/>
    <w:rsid w:val="00C52FF9"/>
    <w:rsid w:val="00C5366B"/>
    <w:rsid w:val="00C53951"/>
    <w:rsid w:val="00C53DAC"/>
    <w:rsid w:val="00C53E28"/>
    <w:rsid w:val="00C53EDB"/>
    <w:rsid w:val="00C54CF3"/>
    <w:rsid w:val="00C54F91"/>
    <w:rsid w:val="00C5511A"/>
    <w:rsid w:val="00C55317"/>
    <w:rsid w:val="00C557DE"/>
    <w:rsid w:val="00C55D35"/>
    <w:rsid w:val="00C5614D"/>
    <w:rsid w:val="00C56199"/>
    <w:rsid w:val="00C56304"/>
    <w:rsid w:val="00C5693C"/>
    <w:rsid w:val="00C56A04"/>
    <w:rsid w:val="00C60797"/>
    <w:rsid w:val="00C60895"/>
    <w:rsid w:val="00C6089C"/>
    <w:rsid w:val="00C61119"/>
    <w:rsid w:val="00C61344"/>
    <w:rsid w:val="00C61401"/>
    <w:rsid w:val="00C61805"/>
    <w:rsid w:val="00C61860"/>
    <w:rsid w:val="00C61B81"/>
    <w:rsid w:val="00C62323"/>
    <w:rsid w:val="00C623AA"/>
    <w:rsid w:val="00C62479"/>
    <w:rsid w:val="00C63B69"/>
    <w:rsid w:val="00C63F6D"/>
    <w:rsid w:val="00C645AD"/>
    <w:rsid w:val="00C65087"/>
    <w:rsid w:val="00C65508"/>
    <w:rsid w:val="00C656B0"/>
    <w:rsid w:val="00C65B6E"/>
    <w:rsid w:val="00C660C1"/>
    <w:rsid w:val="00C6623C"/>
    <w:rsid w:val="00C66F58"/>
    <w:rsid w:val="00C67511"/>
    <w:rsid w:val="00C7035D"/>
    <w:rsid w:val="00C7070F"/>
    <w:rsid w:val="00C70E70"/>
    <w:rsid w:val="00C715C3"/>
    <w:rsid w:val="00C720A1"/>
    <w:rsid w:val="00C720CC"/>
    <w:rsid w:val="00C732BB"/>
    <w:rsid w:val="00C740F9"/>
    <w:rsid w:val="00C741D4"/>
    <w:rsid w:val="00C74539"/>
    <w:rsid w:val="00C75234"/>
    <w:rsid w:val="00C75751"/>
    <w:rsid w:val="00C758C8"/>
    <w:rsid w:val="00C75DF2"/>
    <w:rsid w:val="00C76B8C"/>
    <w:rsid w:val="00C80430"/>
    <w:rsid w:val="00C80962"/>
    <w:rsid w:val="00C809AF"/>
    <w:rsid w:val="00C80F0C"/>
    <w:rsid w:val="00C82AD8"/>
    <w:rsid w:val="00C82E93"/>
    <w:rsid w:val="00C82F95"/>
    <w:rsid w:val="00C83295"/>
    <w:rsid w:val="00C8346A"/>
    <w:rsid w:val="00C837DA"/>
    <w:rsid w:val="00C83A4F"/>
    <w:rsid w:val="00C83A79"/>
    <w:rsid w:val="00C83E39"/>
    <w:rsid w:val="00C83F4A"/>
    <w:rsid w:val="00C844AF"/>
    <w:rsid w:val="00C8472B"/>
    <w:rsid w:val="00C84835"/>
    <w:rsid w:val="00C84F3C"/>
    <w:rsid w:val="00C84FA2"/>
    <w:rsid w:val="00C85066"/>
    <w:rsid w:val="00C85371"/>
    <w:rsid w:val="00C856F4"/>
    <w:rsid w:val="00C8597E"/>
    <w:rsid w:val="00C85F03"/>
    <w:rsid w:val="00C86E51"/>
    <w:rsid w:val="00C873C2"/>
    <w:rsid w:val="00C873C7"/>
    <w:rsid w:val="00C879D4"/>
    <w:rsid w:val="00C9010E"/>
    <w:rsid w:val="00C9025E"/>
    <w:rsid w:val="00C90DCD"/>
    <w:rsid w:val="00C910F2"/>
    <w:rsid w:val="00C91808"/>
    <w:rsid w:val="00C91852"/>
    <w:rsid w:val="00C92F9B"/>
    <w:rsid w:val="00C93291"/>
    <w:rsid w:val="00C93A81"/>
    <w:rsid w:val="00C94154"/>
    <w:rsid w:val="00C94940"/>
    <w:rsid w:val="00C94E35"/>
    <w:rsid w:val="00C950EF"/>
    <w:rsid w:val="00C956EF"/>
    <w:rsid w:val="00C95EF9"/>
    <w:rsid w:val="00C95F05"/>
    <w:rsid w:val="00C95FE7"/>
    <w:rsid w:val="00C96B53"/>
    <w:rsid w:val="00C9725D"/>
    <w:rsid w:val="00C97A2E"/>
    <w:rsid w:val="00C97B24"/>
    <w:rsid w:val="00C97EE2"/>
    <w:rsid w:val="00CA12E4"/>
    <w:rsid w:val="00CA165B"/>
    <w:rsid w:val="00CA16DA"/>
    <w:rsid w:val="00CA214A"/>
    <w:rsid w:val="00CA2B00"/>
    <w:rsid w:val="00CA2BE7"/>
    <w:rsid w:val="00CA2F63"/>
    <w:rsid w:val="00CA32F3"/>
    <w:rsid w:val="00CA332D"/>
    <w:rsid w:val="00CA3A12"/>
    <w:rsid w:val="00CA3A1A"/>
    <w:rsid w:val="00CA4F4D"/>
    <w:rsid w:val="00CA4F68"/>
    <w:rsid w:val="00CA50CB"/>
    <w:rsid w:val="00CA517B"/>
    <w:rsid w:val="00CA5937"/>
    <w:rsid w:val="00CA6389"/>
    <w:rsid w:val="00CA6CA4"/>
    <w:rsid w:val="00CA6F0C"/>
    <w:rsid w:val="00CA6F85"/>
    <w:rsid w:val="00CA7D5E"/>
    <w:rsid w:val="00CB05AB"/>
    <w:rsid w:val="00CB0909"/>
    <w:rsid w:val="00CB0A1B"/>
    <w:rsid w:val="00CB0DCC"/>
    <w:rsid w:val="00CB0E93"/>
    <w:rsid w:val="00CB0F76"/>
    <w:rsid w:val="00CB1088"/>
    <w:rsid w:val="00CB13D7"/>
    <w:rsid w:val="00CB1409"/>
    <w:rsid w:val="00CB224B"/>
    <w:rsid w:val="00CB2B34"/>
    <w:rsid w:val="00CB35E6"/>
    <w:rsid w:val="00CB41B0"/>
    <w:rsid w:val="00CB457C"/>
    <w:rsid w:val="00CB49D5"/>
    <w:rsid w:val="00CB4A8B"/>
    <w:rsid w:val="00CB5026"/>
    <w:rsid w:val="00CB5121"/>
    <w:rsid w:val="00CB5B8F"/>
    <w:rsid w:val="00CB5DB6"/>
    <w:rsid w:val="00CB60C4"/>
    <w:rsid w:val="00CB62F4"/>
    <w:rsid w:val="00CB6479"/>
    <w:rsid w:val="00CB67EA"/>
    <w:rsid w:val="00CB6840"/>
    <w:rsid w:val="00CB73B7"/>
    <w:rsid w:val="00CC01EE"/>
    <w:rsid w:val="00CC08EA"/>
    <w:rsid w:val="00CC0988"/>
    <w:rsid w:val="00CC167B"/>
    <w:rsid w:val="00CC21F0"/>
    <w:rsid w:val="00CC2C42"/>
    <w:rsid w:val="00CC303D"/>
    <w:rsid w:val="00CC3796"/>
    <w:rsid w:val="00CC4329"/>
    <w:rsid w:val="00CC50C0"/>
    <w:rsid w:val="00CC5229"/>
    <w:rsid w:val="00CC546C"/>
    <w:rsid w:val="00CC54F2"/>
    <w:rsid w:val="00CC5807"/>
    <w:rsid w:val="00CC5C1B"/>
    <w:rsid w:val="00CC731B"/>
    <w:rsid w:val="00CC7DDF"/>
    <w:rsid w:val="00CD003F"/>
    <w:rsid w:val="00CD042D"/>
    <w:rsid w:val="00CD11BE"/>
    <w:rsid w:val="00CD13C7"/>
    <w:rsid w:val="00CD13F6"/>
    <w:rsid w:val="00CD165D"/>
    <w:rsid w:val="00CD1CB2"/>
    <w:rsid w:val="00CD23F9"/>
    <w:rsid w:val="00CD2854"/>
    <w:rsid w:val="00CD3665"/>
    <w:rsid w:val="00CD3676"/>
    <w:rsid w:val="00CD3696"/>
    <w:rsid w:val="00CD38B4"/>
    <w:rsid w:val="00CD38D0"/>
    <w:rsid w:val="00CD3D5A"/>
    <w:rsid w:val="00CD3D9E"/>
    <w:rsid w:val="00CD5CA4"/>
    <w:rsid w:val="00CD5E94"/>
    <w:rsid w:val="00CD5EE8"/>
    <w:rsid w:val="00CD639D"/>
    <w:rsid w:val="00CD7060"/>
    <w:rsid w:val="00CD7608"/>
    <w:rsid w:val="00CD78D6"/>
    <w:rsid w:val="00CE1211"/>
    <w:rsid w:val="00CE152B"/>
    <w:rsid w:val="00CE1B81"/>
    <w:rsid w:val="00CE264E"/>
    <w:rsid w:val="00CE2849"/>
    <w:rsid w:val="00CE2937"/>
    <w:rsid w:val="00CE2AC9"/>
    <w:rsid w:val="00CE2FE0"/>
    <w:rsid w:val="00CE30DA"/>
    <w:rsid w:val="00CE348D"/>
    <w:rsid w:val="00CE3611"/>
    <w:rsid w:val="00CE4391"/>
    <w:rsid w:val="00CE4C0F"/>
    <w:rsid w:val="00CE4E7C"/>
    <w:rsid w:val="00CE5050"/>
    <w:rsid w:val="00CE5B5F"/>
    <w:rsid w:val="00CE5C45"/>
    <w:rsid w:val="00CE6203"/>
    <w:rsid w:val="00CE633B"/>
    <w:rsid w:val="00CE7086"/>
    <w:rsid w:val="00CF0454"/>
    <w:rsid w:val="00CF05D7"/>
    <w:rsid w:val="00CF2111"/>
    <w:rsid w:val="00CF226C"/>
    <w:rsid w:val="00CF25E3"/>
    <w:rsid w:val="00CF28BE"/>
    <w:rsid w:val="00CF2DAA"/>
    <w:rsid w:val="00CF39C0"/>
    <w:rsid w:val="00CF40E5"/>
    <w:rsid w:val="00CF42B6"/>
    <w:rsid w:val="00CF43BB"/>
    <w:rsid w:val="00CF4CE6"/>
    <w:rsid w:val="00CF4E1F"/>
    <w:rsid w:val="00CF5705"/>
    <w:rsid w:val="00CF5B23"/>
    <w:rsid w:val="00CF6025"/>
    <w:rsid w:val="00CF657D"/>
    <w:rsid w:val="00CF78EC"/>
    <w:rsid w:val="00CF7DF9"/>
    <w:rsid w:val="00D003D1"/>
    <w:rsid w:val="00D00561"/>
    <w:rsid w:val="00D01A0E"/>
    <w:rsid w:val="00D01B0B"/>
    <w:rsid w:val="00D0275E"/>
    <w:rsid w:val="00D02DEE"/>
    <w:rsid w:val="00D0346B"/>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11BC"/>
    <w:rsid w:val="00D116A1"/>
    <w:rsid w:val="00D11D8F"/>
    <w:rsid w:val="00D11F6D"/>
    <w:rsid w:val="00D12E0C"/>
    <w:rsid w:val="00D132FB"/>
    <w:rsid w:val="00D13372"/>
    <w:rsid w:val="00D1343E"/>
    <w:rsid w:val="00D13452"/>
    <w:rsid w:val="00D14135"/>
    <w:rsid w:val="00D14BC6"/>
    <w:rsid w:val="00D15D2B"/>
    <w:rsid w:val="00D1613F"/>
    <w:rsid w:val="00D168BA"/>
    <w:rsid w:val="00D16B5A"/>
    <w:rsid w:val="00D16EEB"/>
    <w:rsid w:val="00D1709C"/>
    <w:rsid w:val="00D17491"/>
    <w:rsid w:val="00D17D42"/>
    <w:rsid w:val="00D20CDA"/>
    <w:rsid w:val="00D21872"/>
    <w:rsid w:val="00D21B29"/>
    <w:rsid w:val="00D221D5"/>
    <w:rsid w:val="00D22960"/>
    <w:rsid w:val="00D229A3"/>
    <w:rsid w:val="00D2362F"/>
    <w:rsid w:val="00D2367F"/>
    <w:rsid w:val="00D23FCB"/>
    <w:rsid w:val="00D249CE"/>
    <w:rsid w:val="00D25128"/>
    <w:rsid w:val="00D2521D"/>
    <w:rsid w:val="00D253BB"/>
    <w:rsid w:val="00D25692"/>
    <w:rsid w:val="00D25F3A"/>
    <w:rsid w:val="00D25FDC"/>
    <w:rsid w:val="00D2601D"/>
    <w:rsid w:val="00D263DC"/>
    <w:rsid w:val="00D26836"/>
    <w:rsid w:val="00D26B47"/>
    <w:rsid w:val="00D26DE0"/>
    <w:rsid w:val="00D26EA4"/>
    <w:rsid w:val="00D270D9"/>
    <w:rsid w:val="00D271CB"/>
    <w:rsid w:val="00D2766F"/>
    <w:rsid w:val="00D303AB"/>
    <w:rsid w:val="00D31468"/>
    <w:rsid w:val="00D314FB"/>
    <w:rsid w:val="00D31949"/>
    <w:rsid w:val="00D31B5D"/>
    <w:rsid w:val="00D31CFE"/>
    <w:rsid w:val="00D3279B"/>
    <w:rsid w:val="00D32838"/>
    <w:rsid w:val="00D32C7B"/>
    <w:rsid w:val="00D32EA0"/>
    <w:rsid w:val="00D32FBA"/>
    <w:rsid w:val="00D33492"/>
    <w:rsid w:val="00D33DD3"/>
    <w:rsid w:val="00D344E0"/>
    <w:rsid w:val="00D3472D"/>
    <w:rsid w:val="00D3536F"/>
    <w:rsid w:val="00D35996"/>
    <w:rsid w:val="00D35C86"/>
    <w:rsid w:val="00D35DBB"/>
    <w:rsid w:val="00D36A4C"/>
    <w:rsid w:val="00D371AB"/>
    <w:rsid w:val="00D37763"/>
    <w:rsid w:val="00D37984"/>
    <w:rsid w:val="00D37F1C"/>
    <w:rsid w:val="00D40AD4"/>
    <w:rsid w:val="00D40E4E"/>
    <w:rsid w:val="00D410F5"/>
    <w:rsid w:val="00D411B4"/>
    <w:rsid w:val="00D41DA3"/>
    <w:rsid w:val="00D4203B"/>
    <w:rsid w:val="00D42185"/>
    <w:rsid w:val="00D42585"/>
    <w:rsid w:val="00D4274C"/>
    <w:rsid w:val="00D428FE"/>
    <w:rsid w:val="00D42D62"/>
    <w:rsid w:val="00D42FEF"/>
    <w:rsid w:val="00D4331C"/>
    <w:rsid w:val="00D43C2E"/>
    <w:rsid w:val="00D43CC4"/>
    <w:rsid w:val="00D44806"/>
    <w:rsid w:val="00D44F12"/>
    <w:rsid w:val="00D45BE8"/>
    <w:rsid w:val="00D46148"/>
    <w:rsid w:val="00D46923"/>
    <w:rsid w:val="00D46DDD"/>
    <w:rsid w:val="00D46DE7"/>
    <w:rsid w:val="00D47829"/>
    <w:rsid w:val="00D478B2"/>
    <w:rsid w:val="00D47AA0"/>
    <w:rsid w:val="00D47AA9"/>
    <w:rsid w:val="00D47DA3"/>
    <w:rsid w:val="00D50DDB"/>
    <w:rsid w:val="00D530BA"/>
    <w:rsid w:val="00D53472"/>
    <w:rsid w:val="00D5376C"/>
    <w:rsid w:val="00D53A56"/>
    <w:rsid w:val="00D53BEA"/>
    <w:rsid w:val="00D53C30"/>
    <w:rsid w:val="00D54E07"/>
    <w:rsid w:val="00D5514B"/>
    <w:rsid w:val="00D5536F"/>
    <w:rsid w:val="00D57170"/>
    <w:rsid w:val="00D60036"/>
    <w:rsid w:val="00D6040B"/>
    <w:rsid w:val="00D60B5B"/>
    <w:rsid w:val="00D61033"/>
    <w:rsid w:val="00D61722"/>
    <w:rsid w:val="00D618B3"/>
    <w:rsid w:val="00D62BC7"/>
    <w:rsid w:val="00D63A1C"/>
    <w:rsid w:val="00D654E8"/>
    <w:rsid w:val="00D657B3"/>
    <w:rsid w:val="00D67224"/>
    <w:rsid w:val="00D67C75"/>
    <w:rsid w:val="00D67E91"/>
    <w:rsid w:val="00D70383"/>
    <w:rsid w:val="00D70D7C"/>
    <w:rsid w:val="00D70FC5"/>
    <w:rsid w:val="00D7116A"/>
    <w:rsid w:val="00D71600"/>
    <w:rsid w:val="00D71868"/>
    <w:rsid w:val="00D72338"/>
    <w:rsid w:val="00D72D23"/>
    <w:rsid w:val="00D7350E"/>
    <w:rsid w:val="00D73528"/>
    <w:rsid w:val="00D73BCC"/>
    <w:rsid w:val="00D742E3"/>
    <w:rsid w:val="00D74686"/>
    <w:rsid w:val="00D7488B"/>
    <w:rsid w:val="00D74B06"/>
    <w:rsid w:val="00D74CE9"/>
    <w:rsid w:val="00D74D55"/>
    <w:rsid w:val="00D75865"/>
    <w:rsid w:val="00D75FBB"/>
    <w:rsid w:val="00D76252"/>
    <w:rsid w:val="00D76320"/>
    <w:rsid w:val="00D7652D"/>
    <w:rsid w:val="00D76FE1"/>
    <w:rsid w:val="00D7716B"/>
    <w:rsid w:val="00D772B9"/>
    <w:rsid w:val="00D80205"/>
    <w:rsid w:val="00D8091D"/>
    <w:rsid w:val="00D8098F"/>
    <w:rsid w:val="00D811BB"/>
    <w:rsid w:val="00D820AA"/>
    <w:rsid w:val="00D8250A"/>
    <w:rsid w:val="00D828A2"/>
    <w:rsid w:val="00D83B20"/>
    <w:rsid w:val="00D8443A"/>
    <w:rsid w:val="00D848E1"/>
    <w:rsid w:val="00D84D0A"/>
    <w:rsid w:val="00D84DED"/>
    <w:rsid w:val="00D84F97"/>
    <w:rsid w:val="00D85119"/>
    <w:rsid w:val="00D85555"/>
    <w:rsid w:val="00D8582F"/>
    <w:rsid w:val="00D85B0E"/>
    <w:rsid w:val="00D85DD8"/>
    <w:rsid w:val="00D8670B"/>
    <w:rsid w:val="00D86E81"/>
    <w:rsid w:val="00D875E2"/>
    <w:rsid w:val="00D910A6"/>
    <w:rsid w:val="00D93745"/>
    <w:rsid w:val="00D93A95"/>
    <w:rsid w:val="00D93BC2"/>
    <w:rsid w:val="00D93BCA"/>
    <w:rsid w:val="00D93FD3"/>
    <w:rsid w:val="00D94323"/>
    <w:rsid w:val="00D95130"/>
    <w:rsid w:val="00D95255"/>
    <w:rsid w:val="00D95877"/>
    <w:rsid w:val="00D95F68"/>
    <w:rsid w:val="00D972DA"/>
    <w:rsid w:val="00D97528"/>
    <w:rsid w:val="00D97743"/>
    <w:rsid w:val="00D97978"/>
    <w:rsid w:val="00DA0119"/>
    <w:rsid w:val="00DA0881"/>
    <w:rsid w:val="00DA11A5"/>
    <w:rsid w:val="00DA1A56"/>
    <w:rsid w:val="00DA1F3C"/>
    <w:rsid w:val="00DA22B4"/>
    <w:rsid w:val="00DA2381"/>
    <w:rsid w:val="00DA2FBA"/>
    <w:rsid w:val="00DA366B"/>
    <w:rsid w:val="00DA37B6"/>
    <w:rsid w:val="00DA41D5"/>
    <w:rsid w:val="00DA4DF3"/>
    <w:rsid w:val="00DA51B0"/>
    <w:rsid w:val="00DA5467"/>
    <w:rsid w:val="00DA5AEE"/>
    <w:rsid w:val="00DA5CBC"/>
    <w:rsid w:val="00DA5DAD"/>
    <w:rsid w:val="00DA5F86"/>
    <w:rsid w:val="00DA6F2C"/>
    <w:rsid w:val="00DA702C"/>
    <w:rsid w:val="00DA7345"/>
    <w:rsid w:val="00DA762A"/>
    <w:rsid w:val="00DA7706"/>
    <w:rsid w:val="00DA7C7D"/>
    <w:rsid w:val="00DA7C9C"/>
    <w:rsid w:val="00DB0254"/>
    <w:rsid w:val="00DB045B"/>
    <w:rsid w:val="00DB0E3B"/>
    <w:rsid w:val="00DB107D"/>
    <w:rsid w:val="00DB12E3"/>
    <w:rsid w:val="00DB1343"/>
    <w:rsid w:val="00DB17B6"/>
    <w:rsid w:val="00DB1F44"/>
    <w:rsid w:val="00DB3068"/>
    <w:rsid w:val="00DB4759"/>
    <w:rsid w:val="00DB5081"/>
    <w:rsid w:val="00DB5144"/>
    <w:rsid w:val="00DB53A5"/>
    <w:rsid w:val="00DB5730"/>
    <w:rsid w:val="00DB5735"/>
    <w:rsid w:val="00DB5B00"/>
    <w:rsid w:val="00DB67E3"/>
    <w:rsid w:val="00DB6841"/>
    <w:rsid w:val="00DB6F97"/>
    <w:rsid w:val="00DB708E"/>
    <w:rsid w:val="00DB709B"/>
    <w:rsid w:val="00DB712D"/>
    <w:rsid w:val="00DC04C0"/>
    <w:rsid w:val="00DC0A16"/>
    <w:rsid w:val="00DC0C9F"/>
    <w:rsid w:val="00DC144A"/>
    <w:rsid w:val="00DC1E8D"/>
    <w:rsid w:val="00DC25CD"/>
    <w:rsid w:val="00DC27DB"/>
    <w:rsid w:val="00DC3EEC"/>
    <w:rsid w:val="00DC45D9"/>
    <w:rsid w:val="00DC484F"/>
    <w:rsid w:val="00DC4DB1"/>
    <w:rsid w:val="00DC5499"/>
    <w:rsid w:val="00DC6082"/>
    <w:rsid w:val="00DC6155"/>
    <w:rsid w:val="00DC6C5F"/>
    <w:rsid w:val="00DC7732"/>
    <w:rsid w:val="00DC7E47"/>
    <w:rsid w:val="00DD0642"/>
    <w:rsid w:val="00DD074C"/>
    <w:rsid w:val="00DD0862"/>
    <w:rsid w:val="00DD089E"/>
    <w:rsid w:val="00DD12ED"/>
    <w:rsid w:val="00DD19CB"/>
    <w:rsid w:val="00DD1FC8"/>
    <w:rsid w:val="00DD28CA"/>
    <w:rsid w:val="00DD2BED"/>
    <w:rsid w:val="00DD3162"/>
    <w:rsid w:val="00DD32E9"/>
    <w:rsid w:val="00DD343F"/>
    <w:rsid w:val="00DD3A4C"/>
    <w:rsid w:val="00DD594D"/>
    <w:rsid w:val="00DD59EF"/>
    <w:rsid w:val="00DD5AFB"/>
    <w:rsid w:val="00DD6378"/>
    <w:rsid w:val="00DD645A"/>
    <w:rsid w:val="00DD662B"/>
    <w:rsid w:val="00DD6B01"/>
    <w:rsid w:val="00DD793D"/>
    <w:rsid w:val="00DE0305"/>
    <w:rsid w:val="00DE04A2"/>
    <w:rsid w:val="00DE193F"/>
    <w:rsid w:val="00DE1D8B"/>
    <w:rsid w:val="00DE2592"/>
    <w:rsid w:val="00DE2863"/>
    <w:rsid w:val="00DE2E40"/>
    <w:rsid w:val="00DE344B"/>
    <w:rsid w:val="00DE36E4"/>
    <w:rsid w:val="00DE3C9D"/>
    <w:rsid w:val="00DE4842"/>
    <w:rsid w:val="00DE4871"/>
    <w:rsid w:val="00DE50C0"/>
    <w:rsid w:val="00DE5471"/>
    <w:rsid w:val="00DE5EB4"/>
    <w:rsid w:val="00DE5FA3"/>
    <w:rsid w:val="00DE6206"/>
    <w:rsid w:val="00DE78C4"/>
    <w:rsid w:val="00DF04FE"/>
    <w:rsid w:val="00DF0DCD"/>
    <w:rsid w:val="00DF100A"/>
    <w:rsid w:val="00DF1381"/>
    <w:rsid w:val="00DF15ED"/>
    <w:rsid w:val="00DF1A77"/>
    <w:rsid w:val="00DF2076"/>
    <w:rsid w:val="00DF2964"/>
    <w:rsid w:val="00DF307D"/>
    <w:rsid w:val="00DF31AD"/>
    <w:rsid w:val="00DF3568"/>
    <w:rsid w:val="00DF3E66"/>
    <w:rsid w:val="00DF46C8"/>
    <w:rsid w:val="00DF4C5F"/>
    <w:rsid w:val="00DF4FE7"/>
    <w:rsid w:val="00DF518D"/>
    <w:rsid w:val="00DF51AE"/>
    <w:rsid w:val="00DF5635"/>
    <w:rsid w:val="00DF59A8"/>
    <w:rsid w:val="00DF5A9F"/>
    <w:rsid w:val="00DF6781"/>
    <w:rsid w:val="00DF6C0E"/>
    <w:rsid w:val="00DF72F5"/>
    <w:rsid w:val="00DF73F7"/>
    <w:rsid w:val="00DF7835"/>
    <w:rsid w:val="00DF7939"/>
    <w:rsid w:val="00DF7C0D"/>
    <w:rsid w:val="00DF7E3B"/>
    <w:rsid w:val="00E00022"/>
    <w:rsid w:val="00E00A1E"/>
    <w:rsid w:val="00E01529"/>
    <w:rsid w:val="00E016B4"/>
    <w:rsid w:val="00E01B98"/>
    <w:rsid w:val="00E01FF7"/>
    <w:rsid w:val="00E025F3"/>
    <w:rsid w:val="00E034C6"/>
    <w:rsid w:val="00E03583"/>
    <w:rsid w:val="00E042E2"/>
    <w:rsid w:val="00E04318"/>
    <w:rsid w:val="00E04338"/>
    <w:rsid w:val="00E04820"/>
    <w:rsid w:val="00E04C81"/>
    <w:rsid w:val="00E04D62"/>
    <w:rsid w:val="00E05179"/>
    <w:rsid w:val="00E052AD"/>
    <w:rsid w:val="00E057E1"/>
    <w:rsid w:val="00E064A6"/>
    <w:rsid w:val="00E069B3"/>
    <w:rsid w:val="00E06FF8"/>
    <w:rsid w:val="00E0737F"/>
    <w:rsid w:val="00E077B4"/>
    <w:rsid w:val="00E07958"/>
    <w:rsid w:val="00E07C03"/>
    <w:rsid w:val="00E07D6D"/>
    <w:rsid w:val="00E10075"/>
    <w:rsid w:val="00E106DE"/>
    <w:rsid w:val="00E1089E"/>
    <w:rsid w:val="00E10B1B"/>
    <w:rsid w:val="00E11E05"/>
    <w:rsid w:val="00E12210"/>
    <w:rsid w:val="00E1299B"/>
    <w:rsid w:val="00E12AA6"/>
    <w:rsid w:val="00E12F87"/>
    <w:rsid w:val="00E133C2"/>
    <w:rsid w:val="00E135F9"/>
    <w:rsid w:val="00E148BC"/>
    <w:rsid w:val="00E14C8C"/>
    <w:rsid w:val="00E150F3"/>
    <w:rsid w:val="00E1547B"/>
    <w:rsid w:val="00E1581F"/>
    <w:rsid w:val="00E16D0E"/>
    <w:rsid w:val="00E16FAB"/>
    <w:rsid w:val="00E17703"/>
    <w:rsid w:val="00E2091B"/>
    <w:rsid w:val="00E20E4C"/>
    <w:rsid w:val="00E21758"/>
    <w:rsid w:val="00E21C07"/>
    <w:rsid w:val="00E21DA7"/>
    <w:rsid w:val="00E222CF"/>
    <w:rsid w:val="00E22501"/>
    <w:rsid w:val="00E22D24"/>
    <w:rsid w:val="00E23A70"/>
    <w:rsid w:val="00E23E66"/>
    <w:rsid w:val="00E23E6D"/>
    <w:rsid w:val="00E24144"/>
    <w:rsid w:val="00E244F7"/>
    <w:rsid w:val="00E244FA"/>
    <w:rsid w:val="00E246E4"/>
    <w:rsid w:val="00E24C12"/>
    <w:rsid w:val="00E25048"/>
    <w:rsid w:val="00E2568E"/>
    <w:rsid w:val="00E25894"/>
    <w:rsid w:val="00E25C7E"/>
    <w:rsid w:val="00E26741"/>
    <w:rsid w:val="00E268CE"/>
    <w:rsid w:val="00E26C13"/>
    <w:rsid w:val="00E27515"/>
    <w:rsid w:val="00E27522"/>
    <w:rsid w:val="00E275CD"/>
    <w:rsid w:val="00E27FB7"/>
    <w:rsid w:val="00E30181"/>
    <w:rsid w:val="00E30C99"/>
    <w:rsid w:val="00E30D79"/>
    <w:rsid w:val="00E314E4"/>
    <w:rsid w:val="00E31673"/>
    <w:rsid w:val="00E318AB"/>
    <w:rsid w:val="00E31971"/>
    <w:rsid w:val="00E32564"/>
    <w:rsid w:val="00E32860"/>
    <w:rsid w:val="00E32A50"/>
    <w:rsid w:val="00E32F61"/>
    <w:rsid w:val="00E338D8"/>
    <w:rsid w:val="00E33D0D"/>
    <w:rsid w:val="00E3481C"/>
    <w:rsid w:val="00E3488C"/>
    <w:rsid w:val="00E34D50"/>
    <w:rsid w:val="00E35BF7"/>
    <w:rsid w:val="00E35E02"/>
    <w:rsid w:val="00E36B88"/>
    <w:rsid w:val="00E37591"/>
    <w:rsid w:val="00E3778F"/>
    <w:rsid w:val="00E37D4D"/>
    <w:rsid w:val="00E402B1"/>
    <w:rsid w:val="00E405A9"/>
    <w:rsid w:val="00E4079B"/>
    <w:rsid w:val="00E40954"/>
    <w:rsid w:val="00E4134B"/>
    <w:rsid w:val="00E41BB9"/>
    <w:rsid w:val="00E41C69"/>
    <w:rsid w:val="00E41E01"/>
    <w:rsid w:val="00E4336E"/>
    <w:rsid w:val="00E43809"/>
    <w:rsid w:val="00E43820"/>
    <w:rsid w:val="00E46233"/>
    <w:rsid w:val="00E465E5"/>
    <w:rsid w:val="00E46946"/>
    <w:rsid w:val="00E47677"/>
    <w:rsid w:val="00E4789D"/>
    <w:rsid w:val="00E47F9F"/>
    <w:rsid w:val="00E50629"/>
    <w:rsid w:val="00E5097A"/>
    <w:rsid w:val="00E50B80"/>
    <w:rsid w:val="00E51838"/>
    <w:rsid w:val="00E51A43"/>
    <w:rsid w:val="00E52493"/>
    <w:rsid w:val="00E52D43"/>
    <w:rsid w:val="00E53022"/>
    <w:rsid w:val="00E5335C"/>
    <w:rsid w:val="00E535A8"/>
    <w:rsid w:val="00E53869"/>
    <w:rsid w:val="00E53880"/>
    <w:rsid w:val="00E54379"/>
    <w:rsid w:val="00E546B3"/>
    <w:rsid w:val="00E54E3A"/>
    <w:rsid w:val="00E551E6"/>
    <w:rsid w:val="00E552CB"/>
    <w:rsid w:val="00E5538F"/>
    <w:rsid w:val="00E56508"/>
    <w:rsid w:val="00E56641"/>
    <w:rsid w:val="00E56C5B"/>
    <w:rsid w:val="00E57030"/>
    <w:rsid w:val="00E5741A"/>
    <w:rsid w:val="00E57671"/>
    <w:rsid w:val="00E577FA"/>
    <w:rsid w:val="00E57C38"/>
    <w:rsid w:val="00E61D26"/>
    <w:rsid w:val="00E626E6"/>
    <w:rsid w:val="00E62A03"/>
    <w:rsid w:val="00E62DB1"/>
    <w:rsid w:val="00E632FB"/>
    <w:rsid w:val="00E63639"/>
    <w:rsid w:val="00E637E5"/>
    <w:rsid w:val="00E638FF"/>
    <w:rsid w:val="00E63A3D"/>
    <w:rsid w:val="00E63FE7"/>
    <w:rsid w:val="00E63FEA"/>
    <w:rsid w:val="00E6402F"/>
    <w:rsid w:val="00E6495C"/>
    <w:rsid w:val="00E64A67"/>
    <w:rsid w:val="00E64D78"/>
    <w:rsid w:val="00E64F30"/>
    <w:rsid w:val="00E65140"/>
    <w:rsid w:val="00E65EB4"/>
    <w:rsid w:val="00E66188"/>
    <w:rsid w:val="00E663C4"/>
    <w:rsid w:val="00E6676F"/>
    <w:rsid w:val="00E669CD"/>
    <w:rsid w:val="00E669F2"/>
    <w:rsid w:val="00E66C37"/>
    <w:rsid w:val="00E66C61"/>
    <w:rsid w:val="00E66CE4"/>
    <w:rsid w:val="00E679D4"/>
    <w:rsid w:val="00E67AA0"/>
    <w:rsid w:val="00E713DE"/>
    <w:rsid w:val="00E716C0"/>
    <w:rsid w:val="00E719A6"/>
    <w:rsid w:val="00E722C6"/>
    <w:rsid w:val="00E72DF8"/>
    <w:rsid w:val="00E72E71"/>
    <w:rsid w:val="00E731D3"/>
    <w:rsid w:val="00E73B29"/>
    <w:rsid w:val="00E73D50"/>
    <w:rsid w:val="00E73EEF"/>
    <w:rsid w:val="00E74A17"/>
    <w:rsid w:val="00E7500E"/>
    <w:rsid w:val="00E7525C"/>
    <w:rsid w:val="00E759B0"/>
    <w:rsid w:val="00E760BB"/>
    <w:rsid w:val="00E76364"/>
    <w:rsid w:val="00E767CB"/>
    <w:rsid w:val="00E76F35"/>
    <w:rsid w:val="00E773A2"/>
    <w:rsid w:val="00E775D9"/>
    <w:rsid w:val="00E77B92"/>
    <w:rsid w:val="00E77CC6"/>
    <w:rsid w:val="00E80F1B"/>
    <w:rsid w:val="00E82056"/>
    <w:rsid w:val="00E834BB"/>
    <w:rsid w:val="00E8393E"/>
    <w:rsid w:val="00E8415E"/>
    <w:rsid w:val="00E8466A"/>
    <w:rsid w:val="00E84A88"/>
    <w:rsid w:val="00E85B31"/>
    <w:rsid w:val="00E85CF5"/>
    <w:rsid w:val="00E85D59"/>
    <w:rsid w:val="00E860DF"/>
    <w:rsid w:val="00E86467"/>
    <w:rsid w:val="00E8675F"/>
    <w:rsid w:val="00E86FB0"/>
    <w:rsid w:val="00E87181"/>
    <w:rsid w:val="00E876EC"/>
    <w:rsid w:val="00E900F3"/>
    <w:rsid w:val="00E91467"/>
    <w:rsid w:val="00E9213E"/>
    <w:rsid w:val="00E9233C"/>
    <w:rsid w:val="00E92727"/>
    <w:rsid w:val="00E92979"/>
    <w:rsid w:val="00E92C15"/>
    <w:rsid w:val="00E92E50"/>
    <w:rsid w:val="00E93450"/>
    <w:rsid w:val="00E9389D"/>
    <w:rsid w:val="00E93E43"/>
    <w:rsid w:val="00E94212"/>
    <w:rsid w:val="00E95051"/>
    <w:rsid w:val="00E95330"/>
    <w:rsid w:val="00E953A8"/>
    <w:rsid w:val="00E96E01"/>
    <w:rsid w:val="00E973CF"/>
    <w:rsid w:val="00E973D4"/>
    <w:rsid w:val="00EA00F6"/>
    <w:rsid w:val="00EA0B63"/>
    <w:rsid w:val="00EA0CB9"/>
    <w:rsid w:val="00EA0E6B"/>
    <w:rsid w:val="00EA11A3"/>
    <w:rsid w:val="00EA11C6"/>
    <w:rsid w:val="00EA163B"/>
    <w:rsid w:val="00EA30EE"/>
    <w:rsid w:val="00EA3815"/>
    <w:rsid w:val="00EA491D"/>
    <w:rsid w:val="00EA4E4A"/>
    <w:rsid w:val="00EA5063"/>
    <w:rsid w:val="00EA53B3"/>
    <w:rsid w:val="00EA5763"/>
    <w:rsid w:val="00EA5F8F"/>
    <w:rsid w:val="00EA63A4"/>
    <w:rsid w:val="00EA6FD5"/>
    <w:rsid w:val="00EA72D5"/>
    <w:rsid w:val="00EA7BCA"/>
    <w:rsid w:val="00EA7C19"/>
    <w:rsid w:val="00EB0514"/>
    <w:rsid w:val="00EB12C3"/>
    <w:rsid w:val="00EB1ED4"/>
    <w:rsid w:val="00EB2ACD"/>
    <w:rsid w:val="00EB2DD7"/>
    <w:rsid w:val="00EB388B"/>
    <w:rsid w:val="00EB3B8F"/>
    <w:rsid w:val="00EB4217"/>
    <w:rsid w:val="00EB457E"/>
    <w:rsid w:val="00EB45CC"/>
    <w:rsid w:val="00EB496E"/>
    <w:rsid w:val="00EB49DF"/>
    <w:rsid w:val="00EB5EA1"/>
    <w:rsid w:val="00EB74D7"/>
    <w:rsid w:val="00EB780F"/>
    <w:rsid w:val="00EB79BA"/>
    <w:rsid w:val="00EB7AA1"/>
    <w:rsid w:val="00EB7C34"/>
    <w:rsid w:val="00EC0DF7"/>
    <w:rsid w:val="00EC1390"/>
    <w:rsid w:val="00EC19F0"/>
    <w:rsid w:val="00EC2413"/>
    <w:rsid w:val="00EC2CAB"/>
    <w:rsid w:val="00EC34D2"/>
    <w:rsid w:val="00EC3677"/>
    <w:rsid w:val="00EC3678"/>
    <w:rsid w:val="00EC4057"/>
    <w:rsid w:val="00EC50B8"/>
    <w:rsid w:val="00EC537D"/>
    <w:rsid w:val="00EC5AD1"/>
    <w:rsid w:val="00EC6C1C"/>
    <w:rsid w:val="00EC6EDA"/>
    <w:rsid w:val="00EC701F"/>
    <w:rsid w:val="00ED0DCE"/>
    <w:rsid w:val="00ED1413"/>
    <w:rsid w:val="00ED15EE"/>
    <w:rsid w:val="00ED2A51"/>
    <w:rsid w:val="00ED2ACE"/>
    <w:rsid w:val="00ED2F6E"/>
    <w:rsid w:val="00ED4195"/>
    <w:rsid w:val="00ED4839"/>
    <w:rsid w:val="00ED531B"/>
    <w:rsid w:val="00ED5485"/>
    <w:rsid w:val="00ED54A7"/>
    <w:rsid w:val="00ED5617"/>
    <w:rsid w:val="00ED56BE"/>
    <w:rsid w:val="00ED59AA"/>
    <w:rsid w:val="00ED60A0"/>
    <w:rsid w:val="00ED6C82"/>
    <w:rsid w:val="00ED7028"/>
    <w:rsid w:val="00ED7AF0"/>
    <w:rsid w:val="00ED7EA2"/>
    <w:rsid w:val="00EE04DA"/>
    <w:rsid w:val="00EE0AAF"/>
    <w:rsid w:val="00EE0B65"/>
    <w:rsid w:val="00EE104F"/>
    <w:rsid w:val="00EE28DF"/>
    <w:rsid w:val="00EE2BCE"/>
    <w:rsid w:val="00EE2CCA"/>
    <w:rsid w:val="00EE3C55"/>
    <w:rsid w:val="00EE3C73"/>
    <w:rsid w:val="00EE43E6"/>
    <w:rsid w:val="00EE4B67"/>
    <w:rsid w:val="00EE4C34"/>
    <w:rsid w:val="00EE4DF2"/>
    <w:rsid w:val="00EE502F"/>
    <w:rsid w:val="00EE550F"/>
    <w:rsid w:val="00EE6922"/>
    <w:rsid w:val="00EE7592"/>
    <w:rsid w:val="00EE7F0D"/>
    <w:rsid w:val="00EE7FD2"/>
    <w:rsid w:val="00EF0387"/>
    <w:rsid w:val="00EF0471"/>
    <w:rsid w:val="00EF1211"/>
    <w:rsid w:val="00EF209E"/>
    <w:rsid w:val="00EF338E"/>
    <w:rsid w:val="00EF382E"/>
    <w:rsid w:val="00EF413E"/>
    <w:rsid w:val="00EF4591"/>
    <w:rsid w:val="00EF4CD8"/>
    <w:rsid w:val="00EF4D0D"/>
    <w:rsid w:val="00EF55B3"/>
    <w:rsid w:val="00EF57E8"/>
    <w:rsid w:val="00EF5920"/>
    <w:rsid w:val="00EF7814"/>
    <w:rsid w:val="00F00817"/>
    <w:rsid w:val="00F0098F"/>
    <w:rsid w:val="00F04D78"/>
    <w:rsid w:val="00F05206"/>
    <w:rsid w:val="00F0573A"/>
    <w:rsid w:val="00F05B16"/>
    <w:rsid w:val="00F05DBD"/>
    <w:rsid w:val="00F072BF"/>
    <w:rsid w:val="00F07351"/>
    <w:rsid w:val="00F077A5"/>
    <w:rsid w:val="00F07FFE"/>
    <w:rsid w:val="00F10086"/>
    <w:rsid w:val="00F10310"/>
    <w:rsid w:val="00F10A89"/>
    <w:rsid w:val="00F10B7A"/>
    <w:rsid w:val="00F10FCE"/>
    <w:rsid w:val="00F11108"/>
    <w:rsid w:val="00F11CC5"/>
    <w:rsid w:val="00F12013"/>
    <w:rsid w:val="00F12116"/>
    <w:rsid w:val="00F13F89"/>
    <w:rsid w:val="00F1419D"/>
    <w:rsid w:val="00F14627"/>
    <w:rsid w:val="00F15215"/>
    <w:rsid w:val="00F15461"/>
    <w:rsid w:val="00F15883"/>
    <w:rsid w:val="00F16C4E"/>
    <w:rsid w:val="00F17B5A"/>
    <w:rsid w:val="00F17E97"/>
    <w:rsid w:val="00F20844"/>
    <w:rsid w:val="00F20DDD"/>
    <w:rsid w:val="00F20E10"/>
    <w:rsid w:val="00F21B4B"/>
    <w:rsid w:val="00F23750"/>
    <w:rsid w:val="00F23C2A"/>
    <w:rsid w:val="00F24535"/>
    <w:rsid w:val="00F251AE"/>
    <w:rsid w:val="00F25496"/>
    <w:rsid w:val="00F260C2"/>
    <w:rsid w:val="00F261F0"/>
    <w:rsid w:val="00F2656D"/>
    <w:rsid w:val="00F2662A"/>
    <w:rsid w:val="00F26935"/>
    <w:rsid w:val="00F27877"/>
    <w:rsid w:val="00F303BF"/>
    <w:rsid w:val="00F30659"/>
    <w:rsid w:val="00F31471"/>
    <w:rsid w:val="00F314DB"/>
    <w:rsid w:val="00F31B52"/>
    <w:rsid w:val="00F3221D"/>
    <w:rsid w:val="00F32308"/>
    <w:rsid w:val="00F32876"/>
    <w:rsid w:val="00F3295B"/>
    <w:rsid w:val="00F332D5"/>
    <w:rsid w:val="00F335F9"/>
    <w:rsid w:val="00F339CB"/>
    <w:rsid w:val="00F34073"/>
    <w:rsid w:val="00F352A2"/>
    <w:rsid w:val="00F353DA"/>
    <w:rsid w:val="00F35622"/>
    <w:rsid w:val="00F35741"/>
    <w:rsid w:val="00F371EC"/>
    <w:rsid w:val="00F37AFA"/>
    <w:rsid w:val="00F4033F"/>
    <w:rsid w:val="00F41F33"/>
    <w:rsid w:val="00F42EC2"/>
    <w:rsid w:val="00F42EFD"/>
    <w:rsid w:val="00F4309F"/>
    <w:rsid w:val="00F43235"/>
    <w:rsid w:val="00F43B6E"/>
    <w:rsid w:val="00F44586"/>
    <w:rsid w:val="00F44A91"/>
    <w:rsid w:val="00F4526B"/>
    <w:rsid w:val="00F459A6"/>
    <w:rsid w:val="00F45B2D"/>
    <w:rsid w:val="00F45E4C"/>
    <w:rsid w:val="00F4638D"/>
    <w:rsid w:val="00F46A60"/>
    <w:rsid w:val="00F46B58"/>
    <w:rsid w:val="00F46BED"/>
    <w:rsid w:val="00F4751A"/>
    <w:rsid w:val="00F47FDD"/>
    <w:rsid w:val="00F506DE"/>
    <w:rsid w:val="00F508B5"/>
    <w:rsid w:val="00F51541"/>
    <w:rsid w:val="00F52335"/>
    <w:rsid w:val="00F526F2"/>
    <w:rsid w:val="00F52CDF"/>
    <w:rsid w:val="00F533D3"/>
    <w:rsid w:val="00F53443"/>
    <w:rsid w:val="00F53A5E"/>
    <w:rsid w:val="00F53CB7"/>
    <w:rsid w:val="00F53F6F"/>
    <w:rsid w:val="00F541A9"/>
    <w:rsid w:val="00F541EC"/>
    <w:rsid w:val="00F549F3"/>
    <w:rsid w:val="00F54B8B"/>
    <w:rsid w:val="00F5580A"/>
    <w:rsid w:val="00F5717D"/>
    <w:rsid w:val="00F571BB"/>
    <w:rsid w:val="00F57326"/>
    <w:rsid w:val="00F608C4"/>
    <w:rsid w:val="00F60D7B"/>
    <w:rsid w:val="00F613C2"/>
    <w:rsid w:val="00F622E4"/>
    <w:rsid w:val="00F631CE"/>
    <w:rsid w:val="00F63280"/>
    <w:rsid w:val="00F6380D"/>
    <w:rsid w:val="00F638C9"/>
    <w:rsid w:val="00F6610C"/>
    <w:rsid w:val="00F6697C"/>
    <w:rsid w:val="00F66E06"/>
    <w:rsid w:val="00F67943"/>
    <w:rsid w:val="00F7011C"/>
    <w:rsid w:val="00F7013B"/>
    <w:rsid w:val="00F70D4C"/>
    <w:rsid w:val="00F71127"/>
    <w:rsid w:val="00F719CC"/>
    <w:rsid w:val="00F71F09"/>
    <w:rsid w:val="00F722BB"/>
    <w:rsid w:val="00F72DE8"/>
    <w:rsid w:val="00F7329E"/>
    <w:rsid w:val="00F736BF"/>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C5A"/>
    <w:rsid w:val="00F81F9D"/>
    <w:rsid w:val="00F82D1F"/>
    <w:rsid w:val="00F82EDE"/>
    <w:rsid w:val="00F83266"/>
    <w:rsid w:val="00F839C5"/>
    <w:rsid w:val="00F842E4"/>
    <w:rsid w:val="00F84E98"/>
    <w:rsid w:val="00F852DA"/>
    <w:rsid w:val="00F86AAA"/>
    <w:rsid w:val="00F86E9A"/>
    <w:rsid w:val="00F876D0"/>
    <w:rsid w:val="00F87AF8"/>
    <w:rsid w:val="00F90356"/>
    <w:rsid w:val="00F90E22"/>
    <w:rsid w:val="00F914E4"/>
    <w:rsid w:val="00F92032"/>
    <w:rsid w:val="00F93291"/>
    <w:rsid w:val="00F93433"/>
    <w:rsid w:val="00F93595"/>
    <w:rsid w:val="00F93ADD"/>
    <w:rsid w:val="00F94523"/>
    <w:rsid w:val="00F946A3"/>
    <w:rsid w:val="00F94D81"/>
    <w:rsid w:val="00F95A3F"/>
    <w:rsid w:val="00F95E32"/>
    <w:rsid w:val="00F96731"/>
    <w:rsid w:val="00F968B7"/>
    <w:rsid w:val="00F969F3"/>
    <w:rsid w:val="00F96A48"/>
    <w:rsid w:val="00F96F07"/>
    <w:rsid w:val="00F9708C"/>
    <w:rsid w:val="00F9734D"/>
    <w:rsid w:val="00F978D7"/>
    <w:rsid w:val="00FA105B"/>
    <w:rsid w:val="00FA19D8"/>
    <w:rsid w:val="00FA1C69"/>
    <w:rsid w:val="00FA216D"/>
    <w:rsid w:val="00FA29D5"/>
    <w:rsid w:val="00FA34D0"/>
    <w:rsid w:val="00FA3B25"/>
    <w:rsid w:val="00FA420A"/>
    <w:rsid w:val="00FA448B"/>
    <w:rsid w:val="00FA4583"/>
    <w:rsid w:val="00FA46A3"/>
    <w:rsid w:val="00FA4E19"/>
    <w:rsid w:val="00FA4E2D"/>
    <w:rsid w:val="00FA4F61"/>
    <w:rsid w:val="00FA5051"/>
    <w:rsid w:val="00FA51B8"/>
    <w:rsid w:val="00FA5C16"/>
    <w:rsid w:val="00FA632E"/>
    <w:rsid w:val="00FA63C3"/>
    <w:rsid w:val="00FA676D"/>
    <w:rsid w:val="00FA7209"/>
    <w:rsid w:val="00FA7F85"/>
    <w:rsid w:val="00FB0538"/>
    <w:rsid w:val="00FB071D"/>
    <w:rsid w:val="00FB0B4F"/>
    <w:rsid w:val="00FB13C7"/>
    <w:rsid w:val="00FB1F99"/>
    <w:rsid w:val="00FB2742"/>
    <w:rsid w:val="00FB2BA7"/>
    <w:rsid w:val="00FB2D3E"/>
    <w:rsid w:val="00FB30AF"/>
    <w:rsid w:val="00FB379A"/>
    <w:rsid w:val="00FB3D8D"/>
    <w:rsid w:val="00FB438A"/>
    <w:rsid w:val="00FB502F"/>
    <w:rsid w:val="00FB53D9"/>
    <w:rsid w:val="00FB55BC"/>
    <w:rsid w:val="00FB5FE0"/>
    <w:rsid w:val="00FB61B4"/>
    <w:rsid w:val="00FB6C19"/>
    <w:rsid w:val="00FB72E2"/>
    <w:rsid w:val="00FB74EF"/>
    <w:rsid w:val="00FB7834"/>
    <w:rsid w:val="00FB7FFA"/>
    <w:rsid w:val="00FC0778"/>
    <w:rsid w:val="00FC0986"/>
    <w:rsid w:val="00FC1FB5"/>
    <w:rsid w:val="00FC218F"/>
    <w:rsid w:val="00FC2E3E"/>
    <w:rsid w:val="00FC3364"/>
    <w:rsid w:val="00FC345C"/>
    <w:rsid w:val="00FC36FC"/>
    <w:rsid w:val="00FC3B7C"/>
    <w:rsid w:val="00FC45F3"/>
    <w:rsid w:val="00FC4761"/>
    <w:rsid w:val="00FC4E1B"/>
    <w:rsid w:val="00FC4FA9"/>
    <w:rsid w:val="00FC5172"/>
    <w:rsid w:val="00FC5751"/>
    <w:rsid w:val="00FC639E"/>
    <w:rsid w:val="00FC655A"/>
    <w:rsid w:val="00FC6EEB"/>
    <w:rsid w:val="00FC712B"/>
    <w:rsid w:val="00FC786E"/>
    <w:rsid w:val="00FD0015"/>
    <w:rsid w:val="00FD01F6"/>
    <w:rsid w:val="00FD1306"/>
    <w:rsid w:val="00FD1711"/>
    <w:rsid w:val="00FD1950"/>
    <w:rsid w:val="00FD19F0"/>
    <w:rsid w:val="00FD1A95"/>
    <w:rsid w:val="00FD1CDC"/>
    <w:rsid w:val="00FD1EA0"/>
    <w:rsid w:val="00FD2C63"/>
    <w:rsid w:val="00FD2E4C"/>
    <w:rsid w:val="00FD2E81"/>
    <w:rsid w:val="00FD380D"/>
    <w:rsid w:val="00FD39FD"/>
    <w:rsid w:val="00FD3B9D"/>
    <w:rsid w:val="00FD4DCB"/>
    <w:rsid w:val="00FD6394"/>
    <w:rsid w:val="00FD644D"/>
    <w:rsid w:val="00FD67F9"/>
    <w:rsid w:val="00FD6C4B"/>
    <w:rsid w:val="00FD6DDF"/>
    <w:rsid w:val="00FD716D"/>
    <w:rsid w:val="00FD7356"/>
    <w:rsid w:val="00FD73BC"/>
    <w:rsid w:val="00FD7682"/>
    <w:rsid w:val="00FD78E0"/>
    <w:rsid w:val="00FD7D4C"/>
    <w:rsid w:val="00FE0044"/>
    <w:rsid w:val="00FE00F0"/>
    <w:rsid w:val="00FE013A"/>
    <w:rsid w:val="00FE0144"/>
    <w:rsid w:val="00FE0EF6"/>
    <w:rsid w:val="00FE1385"/>
    <w:rsid w:val="00FE139F"/>
    <w:rsid w:val="00FE1984"/>
    <w:rsid w:val="00FE1DB6"/>
    <w:rsid w:val="00FE2823"/>
    <w:rsid w:val="00FE2834"/>
    <w:rsid w:val="00FE2969"/>
    <w:rsid w:val="00FE2DF4"/>
    <w:rsid w:val="00FE34F5"/>
    <w:rsid w:val="00FE3972"/>
    <w:rsid w:val="00FE3978"/>
    <w:rsid w:val="00FE39BF"/>
    <w:rsid w:val="00FE3A96"/>
    <w:rsid w:val="00FE4D21"/>
    <w:rsid w:val="00FE562A"/>
    <w:rsid w:val="00FE5BF8"/>
    <w:rsid w:val="00FE6250"/>
    <w:rsid w:val="00FE6645"/>
    <w:rsid w:val="00FE6A48"/>
    <w:rsid w:val="00FE6B81"/>
    <w:rsid w:val="00FE6C99"/>
    <w:rsid w:val="00FF0DC8"/>
    <w:rsid w:val="00FF12F7"/>
    <w:rsid w:val="00FF21A9"/>
    <w:rsid w:val="00FF24BE"/>
    <w:rsid w:val="00FF2D5B"/>
    <w:rsid w:val="00FF2F11"/>
    <w:rsid w:val="00FF31EA"/>
    <w:rsid w:val="00FF32AC"/>
    <w:rsid w:val="00FF3328"/>
    <w:rsid w:val="00FF3ED2"/>
    <w:rsid w:val="00FF4253"/>
    <w:rsid w:val="00FF433A"/>
    <w:rsid w:val="00FF4725"/>
    <w:rsid w:val="00FF4C0E"/>
    <w:rsid w:val="00FF4F4A"/>
    <w:rsid w:val="00FF4FE1"/>
    <w:rsid w:val="00FF529F"/>
    <w:rsid w:val="00FF5508"/>
    <w:rsid w:val="00FF5810"/>
    <w:rsid w:val="00FF5940"/>
    <w:rsid w:val="00FF6391"/>
    <w:rsid w:val="00FF7B1D"/>
    <w:rsid w:val="00FF7D14"/>
    <w:rsid w:val="00FF7D23"/>
    <w:rsid w:val="00FF7E39"/>
    <w:rsid w:val="27C036DC"/>
    <w:rsid w:val="7AE03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Lines="50" w:afterLines="50" w:line="360" w:lineRule="auto"/>
      <w:jc w:val="center"/>
      <w:outlineLvl w:val="1"/>
    </w:pPr>
    <w:rPr>
      <w:rFonts w:ascii="Arial" w:hAnsi="Arial" w:eastAsia="黑体"/>
      <w:bCs/>
      <w:sz w:val="24"/>
      <w:szCs w:val="32"/>
    </w:rPr>
  </w:style>
  <w:style w:type="paragraph" w:styleId="4">
    <w:name w:val="heading 3"/>
    <w:basedOn w:val="1"/>
    <w:next w:val="1"/>
    <w:link w:val="86"/>
    <w:semiHidden/>
    <w:unhideWhenUsed/>
    <w:qFormat/>
    <w:uiPriority w:val="9"/>
    <w:pPr>
      <w:keepNext/>
      <w:keepLines/>
      <w:spacing w:before="260" w:after="260" w:line="416" w:lineRule="auto"/>
      <w:outlineLvl w:val="2"/>
    </w:pPr>
    <w:rPr>
      <w:b/>
      <w:bCs/>
      <w:sz w:val="32"/>
      <w:szCs w:val="32"/>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39"/>
    <w:pPr>
      <w:ind w:left="1260"/>
      <w:jc w:val="left"/>
    </w:pPr>
    <w:rPr>
      <w:rFonts w:asciiTheme="minorHAnsi" w:hAnsiTheme="minorHAnsi" w:cstheme="minorHAnsi"/>
      <w:sz w:val="18"/>
      <w:szCs w:val="18"/>
    </w:rPr>
  </w:style>
  <w:style w:type="paragraph" w:styleId="6">
    <w:name w:val="List Bullet"/>
    <w:basedOn w:val="1"/>
    <w:qFormat/>
    <w:uiPriority w:val="0"/>
    <w:pPr>
      <w:numPr>
        <w:ilvl w:val="0"/>
        <w:numId w:val="1"/>
      </w:numPr>
    </w:pPr>
  </w:style>
  <w:style w:type="paragraph" w:styleId="7">
    <w:name w:val="annotation text"/>
    <w:basedOn w:val="1"/>
    <w:link w:val="78"/>
    <w:semiHidden/>
    <w:qFormat/>
    <w:uiPriority w:val="0"/>
    <w:pPr>
      <w:jc w:val="left"/>
    </w:pPr>
  </w:style>
  <w:style w:type="paragraph" w:styleId="8">
    <w:name w:val="Body Text 3"/>
    <w:basedOn w:val="1"/>
    <w:link w:val="63"/>
    <w:qFormat/>
    <w:uiPriority w:val="0"/>
    <w:pPr>
      <w:spacing w:after="120"/>
    </w:pPr>
    <w:rPr>
      <w:sz w:val="16"/>
      <w:szCs w:val="16"/>
    </w:rPr>
  </w:style>
  <w:style w:type="paragraph" w:styleId="9">
    <w:name w:val="Body Text"/>
    <w:basedOn w:val="1"/>
    <w:link w:val="48"/>
    <w:qFormat/>
    <w:uiPriority w:val="0"/>
    <w:rPr>
      <w:color w:val="FF00FF"/>
    </w:rPr>
  </w:style>
  <w:style w:type="paragraph" w:styleId="10">
    <w:name w:val="Body Text Indent"/>
    <w:basedOn w:val="1"/>
    <w:link w:val="53"/>
    <w:qFormat/>
    <w:uiPriority w:val="0"/>
    <w:pPr>
      <w:tabs>
        <w:tab w:val="left" w:pos="240"/>
      </w:tabs>
      <w:adjustRightInd w:val="0"/>
      <w:spacing w:line="360" w:lineRule="auto"/>
      <w:ind w:left="2" w:hanging="2"/>
      <w:jc w:val="left"/>
    </w:pPr>
    <w:rPr>
      <w:rFonts w:ascii="宋体" w:hAnsi="宋体"/>
      <w:kern w:val="0"/>
      <w:sz w:val="24"/>
      <w:szCs w:val="21"/>
    </w:rPr>
  </w:style>
  <w:style w:type="paragraph" w:styleId="11">
    <w:name w:val="toc 5"/>
    <w:basedOn w:val="1"/>
    <w:next w:val="1"/>
    <w:qFormat/>
    <w:uiPriority w:val="39"/>
    <w:pPr>
      <w:ind w:left="840"/>
      <w:jc w:val="left"/>
    </w:pPr>
    <w:rPr>
      <w:rFonts w:asciiTheme="minorHAnsi" w:hAnsiTheme="minorHAnsi" w:cstheme="minorHAnsi"/>
      <w:sz w:val="18"/>
      <w:szCs w:val="18"/>
    </w:rPr>
  </w:style>
  <w:style w:type="paragraph" w:styleId="12">
    <w:name w:val="toc 3"/>
    <w:basedOn w:val="1"/>
    <w:next w:val="1"/>
    <w:qFormat/>
    <w:uiPriority w:val="39"/>
    <w:pPr>
      <w:ind w:left="420"/>
      <w:jc w:val="left"/>
    </w:pPr>
    <w:rPr>
      <w:rFonts w:asciiTheme="minorHAnsi" w:hAnsiTheme="minorHAnsi" w:cstheme="minorHAnsi"/>
      <w:i/>
      <w:iCs/>
      <w:sz w:val="20"/>
      <w:szCs w:val="20"/>
    </w:rPr>
  </w:style>
  <w:style w:type="paragraph" w:styleId="13">
    <w:name w:val="Plain Text"/>
    <w:basedOn w:val="1"/>
    <w:link w:val="41"/>
    <w:qFormat/>
    <w:uiPriority w:val="0"/>
    <w:rPr>
      <w:rFonts w:ascii="宋体" w:hAnsi="Courier New" w:cs="Courier New"/>
      <w:szCs w:val="21"/>
    </w:rPr>
  </w:style>
  <w:style w:type="paragraph" w:styleId="14">
    <w:name w:val="toc 8"/>
    <w:basedOn w:val="1"/>
    <w:next w:val="1"/>
    <w:qFormat/>
    <w:uiPriority w:val="39"/>
    <w:pPr>
      <w:ind w:left="1470"/>
      <w:jc w:val="left"/>
    </w:pPr>
    <w:rPr>
      <w:rFonts w:asciiTheme="minorHAnsi" w:hAnsiTheme="minorHAnsi" w:cstheme="minorHAnsi"/>
      <w:sz w:val="18"/>
      <w:szCs w:val="18"/>
    </w:rPr>
  </w:style>
  <w:style w:type="paragraph" w:styleId="15">
    <w:name w:val="Date"/>
    <w:basedOn w:val="1"/>
    <w:next w:val="1"/>
    <w:link w:val="65"/>
    <w:qFormat/>
    <w:uiPriority w:val="0"/>
    <w:pPr>
      <w:ind w:left="100" w:leftChars="2500"/>
    </w:pPr>
  </w:style>
  <w:style w:type="paragraph" w:styleId="16">
    <w:name w:val="Body Text Indent 2"/>
    <w:basedOn w:val="1"/>
    <w:link w:val="75"/>
    <w:qFormat/>
    <w:uiPriority w:val="0"/>
    <w:pPr>
      <w:spacing w:after="120" w:line="480" w:lineRule="auto"/>
      <w:ind w:left="420" w:leftChars="200"/>
    </w:pPr>
  </w:style>
  <w:style w:type="paragraph" w:styleId="17">
    <w:name w:val="Balloon Text"/>
    <w:basedOn w:val="1"/>
    <w:link w:val="54"/>
    <w:semiHidden/>
    <w:qFormat/>
    <w:uiPriority w:val="0"/>
    <w:rPr>
      <w:sz w:val="18"/>
      <w:szCs w:val="18"/>
    </w:rPr>
  </w:style>
  <w:style w:type="paragraph" w:styleId="18">
    <w:name w:val="footer"/>
    <w:basedOn w:val="1"/>
    <w:link w:val="40"/>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qFormat/>
    <w:uiPriority w:val="39"/>
    <w:pPr>
      <w:ind w:left="630"/>
      <w:jc w:val="left"/>
    </w:pPr>
    <w:rPr>
      <w:rFonts w:asciiTheme="minorHAnsi" w:hAnsiTheme="minorHAnsi" w:cstheme="minorHAnsi"/>
      <w:sz w:val="18"/>
      <w:szCs w:val="18"/>
    </w:rPr>
  </w:style>
  <w:style w:type="paragraph" w:styleId="22">
    <w:name w:val="Subtitle"/>
    <w:basedOn w:val="1"/>
    <w:next w:val="1"/>
    <w:link w:val="93"/>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3">
    <w:name w:val="toc 6"/>
    <w:basedOn w:val="1"/>
    <w:next w:val="1"/>
    <w:qFormat/>
    <w:uiPriority w:val="39"/>
    <w:pPr>
      <w:ind w:left="1050"/>
      <w:jc w:val="left"/>
    </w:pPr>
    <w:rPr>
      <w:rFonts w:asciiTheme="minorHAnsi" w:hAnsiTheme="minorHAnsi" w:cstheme="minorHAnsi"/>
      <w:sz w:val="18"/>
      <w:szCs w:val="18"/>
    </w:rPr>
  </w:style>
  <w:style w:type="paragraph" w:styleId="24">
    <w:name w:val="toc 2"/>
    <w:basedOn w:val="1"/>
    <w:next w:val="1"/>
    <w:qFormat/>
    <w:uiPriority w:val="39"/>
    <w:pPr>
      <w:ind w:left="210"/>
      <w:jc w:val="left"/>
    </w:pPr>
    <w:rPr>
      <w:rFonts w:asciiTheme="minorHAnsi" w:hAnsiTheme="minorHAnsi" w:cstheme="minorHAnsi"/>
      <w:smallCaps/>
      <w:sz w:val="20"/>
      <w:szCs w:val="20"/>
    </w:rPr>
  </w:style>
  <w:style w:type="paragraph" w:styleId="25">
    <w:name w:val="toc 9"/>
    <w:basedOn w:val="1"/>
    <w:next w:val="1"/>
    <w:qFormat/>
    <w:uiPriority w:val="39"/>
    <w:pPr>
      <w:ind w:left="1680"/>
      <w:jc w:val="left"/>
    </w:pPr>
    <w:rPr>
      <w:rFonts w:asciiTheme="minorHAnsi" w:hAnsiTheme="minorHAnsi" w:cstheme="minorHAnsi"/>
      <w:sz w:val="18"/>
      <w:szCs w:val="18"/>
    </w:rPr>
  </w:style>
  <w:style w:type="paragraph" w:styleId="26">
    <w:name w:val="Body Text 2"/>
    <w:basedOn w:val="1"/>
    <w:link w:val="73"/>
    <w:qFormat/>
    <w:uiPriority w:val="0"/>
    <w:rPr>
      <w:strike/>
      <w:color w:val="0000FF"/>
    </w:rPr>
  </w:style>
  <w:style w:type="paragraph" w:styleId="27">
    <w:name w:val="List 4"/>
    <w:basedOn w:val="1"/>
    <w:uiPriority w:val="0"/>
    <w:pPr>
      <w:ind w:left="100" w:leftChars="600" w:hanging="200" w:hangingChars="200"/>
      <w:contextualSpacing/>
    </w:pPr>
  </w:style>
  <w:style w:type="paragraph" w:styleId="28">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9">
    <w:name w:val="Title"/>
    <w:basedOn w:val="1"/>
    <w:next w:val="1"/>
    <w:link w:val="92"/>
    <w:qFormat/>
    <w:uiPriority w:val="1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800080"/>
      <w:u w:val="single"/>
    </w:rPr>
  </w:style>
  <w:style w:type="character" w:styleId="36">
    <w:name w:val="Emphasis"/>
    <w:basedOn w:val="32"/>
    <w:qFormat/>
    <w:uiPriority w:val="20"/>
    <w:rPr>
      <w:i/>
      <w:iCs/>
    </w:rPr>
  </w:style>
  <w:style w:type="character" w:styleId="37">
    <w:name w:val="Hyperlink"/>
    <w:basedOn w:val="32"/>
    <w:qFormat/>
    <w:uiPriority w:val="99"/>
    <w:rPr>
      <w:color w:val="0000FF"/>
      <w:u w:val="single"/>
    </w:rPr>
  </w:style>
  <w:style w:type="character" w:styleId="38">
    <w:name w:val="annotation reference"/>
    <w:basedOn w:val="32"/>
    <w:semiHidden/>
    <w:qFormat/>
    <w:uiPriority w:val="0"/>
    <w:rPr>
      <w:sz w:val="21"/>
      <w:szCs w:val="21"/>
    </w:rPr>
  </w:style>
  <w:style w:type="character" w:customStyle="1" w:styleId="39">
    <w:name w:val="页眉 字符"/>
    <w:basedOn w:val="32"/>
    <w:link w:val="19"/>
    <w:qFormat/>
    <w:uiPriority w:val="99"/>
    <w:rPr>
      <w:rFonts w:ascii="Times New Roman" w:hAnsi="Times New Roman" w:eastAsia="宋体" w:cs="Times New Roman"/>
      <w:sz w:val="18"/>
      <w:szCs w:val="18"/>
    </w:rPr>
  </w:style>
  <w:style w:type="character" w:customStyle="1" w:styleId="40">
    <w:name w:val="页脚 字符"/>
    <w:basedOn w:val="32"/>
    <w:link w:val="18"/>
    <w:qFormat/>
    <w:uiPriority w:val="99"/>
    <w:rPr>
      <w:rFonts w:ascii="Times New Roman" w:hAnsi="Times New Roman" w:eastAsia="宋体" w:cs="Times New Roman"/>
      <w:sz w:val="18"/>
      <w:szCs w:val="18"/>
    </w:rPr>
  </w:style>
  <w:style w:type="character" w:customStyle="1" w:styleId="41">
    <w:name w:val="纯文本 字符"/>
    <w:basedOn w:val="32"/>
    <w:link w:val="13"/>
    <w:qFormat/>
    <w:uiPriority w:val="0"/>
    <w:rPr>
      <w:rFonts w:ascii="宋体" w:hAnsi="Courier New" w:eastAsia="宋体" w:cs="Courier New"/>
      <w:szCs w:val="21"/>
    </w:rPr>
  </w:style>
  <w:style w:type="paragraph" w:styleId="4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节"/>
    <w:basedOn w:val="1"/>
    <w:link w:val="44"/>
    <w:qFormat/>
    <w:uiPriority w:val="0"/>
    <w:pPr>
      <w:spacing w:line="340" w:lineRule="exact"/>
      <w:outlineLvl w:val="0"/>
    </w:pPr>
    <w:rPr>
      <w:rFonts w:ascii="黑体" w:hAnsi="宋体" w:eastAsia="黑体"/>
      <w:spacing w:val="4"/>
      <w:szCs w:val="21"/>
    </w:rPr>
  </w:style>
  <w:style w:type="character" w:customStyle="1" w:styleId="44">
    <w:name w:val="节 Char1"/>
    <w:basedOn w:val="32"/>
    <w:link w:val="43"/>
    <w:qFormat/>
    <w:uiPriority w:val="0"/>
    <w:rPr>
      <w:rFonts w:ascii="黑体" w:hAnsi="宋体" w:eastAsia="黑体" w:cs="Times New Roman"/>
      <w:spacing w:val="4"/>
      <w:szCs w:val="21"/>
    </w:rPr>
  </w:style>
  <w:style w:type="paragraph" w:customStyle="1" w:styleId="45">
    <w:name w:val="段"/>
    <w:basedOn w:val="1"/>
    <w:link w:val="46"/>
    <w:qFormat/>
    <w:uiPriority w:val="0"/>
    <w:pPr>
      <w:widowControl/>
      <w:adjustRightInd w:val="0"/>
      <w:spacing w:line="340" w:lineRule="exact"/>
      <w:ind w:firstLine="200" w:firstLineChars="200"/>
      <w:jc w:val="left"/>
    </w:pPr>
    <w:rPr>
      <w:rFonts w:eastAsiaTheme="minorEastAsia"/>
      <w:bCs/>
      <w:spacing w:val="4"/>
      <w:kern w:val="21"/>
      <w:szCs w:val="21"/>
    </w:rPr>
  </w:style>
  <w:style w:type="character" w:customStyle="1" w:styleId="46">
    <w:name w:val="段 Char"/>
    <w:basedOn w:val="32"/>
    <w:link w:val="45"/>
    <w:qFormat/>
    <w:uiPriority w:val="0"/>
    <w:rPr>
      <w:rFonts w:ascii="Times New Roman" w:hAnsi="Times New Roman" w:cs="Times New Roman"/>
      <w:bCs/>
      <w:spacing w:val="4"/>
      <w:kern w:val="21"/>
      <w:szCs w:val="21"/>
    </w:rPr>
  </w:style>
  <w:style w:type="paragraph" w:customStyle="1" w:styleId="47">
    <w:name w:val="章样式"/>
    <w:basedOn w:val="2"/>
    <w:next w:val="1"/>
    <w:qFormat/>
    <w:uiPriority w:val="0"/>
    <w:pPr>
      <w:spacing w:before="120" w:after="120" w:line="360" w:lineRule="auto"/>
      <w:jc w:val="center"/>
    </w:pPr>
    <w:rPr>
      <w:rFonts w:ascii="宋体" w:hAnsi="宋体"/>
      <w:color w:val="000000"/>
      <w:sz w:val="28"/>
      <w:szCs w:val="24"/>
    </w:rPr>
  </w:style>
  <w:style w:type="character" w:customStyle="1" w:styleId="48">
    <w:name w:val="正文文本 字符"/>
    <w:basedOn w:val="32"/>
    <w:link w:val="9"/>
    <w:qFormat/>
    <w:uiPriority w:val="0"/>
    <w:rPr>
      <w:rFonts w:ascii="Times New Roman" w:hAnsi="Times New Roman" w:eastAsia="宋体" w:cs="Times New Roman"/>
      <w:color w:val="FF00FF"/>
      <w:szCs w:val="24"/>
    </w:rPr>
  </w:style>
  <w:style w:type="character" w:customStyle="1" w:styleId="49">
    <w:name w:val="标题 1 字符"/>
    <w:basedOn w:val="32"/>
    <w:link w:val="2"/>
    <w:qFormat/>
    <w:uiPriority w:val="9"/>
    <w:rPr>
      <w:rFonts w:ascii="Times New Roman" w:hAnsi="Times New Roman" w:eastAsia="宋体" w:cs="Times New Roman"/>
      <w:b/>
      <w:bCs/>
      <w:kern w:val="44"/>
      <w:sz w:val="44"/>
      <w:szCs w:val="44"/>
    </w:rPr>
  </w:style>
  <w:style w:type="character" w:customStyle="1" w:styleId="50">
    <w:name w:val="标题 2 字符"/>
    <w:basedOn w:val="32"/>
    <w:link w:val="3"/>
    <w:qFormat/>
    <w:uiPriority w:val="0"/>
    <w:rPr>
      <w:rFonts w:ascii="Arial" w:hAnsi="Arial" w:eastAsia="黑体" w:cs="Times New Roman"/>
      <w:bCs/>
      <w:sz w:val="24"/>
      <w:szCs w:val="32"/>
    </w:rPr>
  </w:style>
  <w:style w:type="paragraph" w:customStyle="1" w:styleId="5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
    <w:name w:val="样式2"/>
    <w:basedOn w:val="1"/>
    <w:qFormat/>
    <w:uiPriority w:val="0"/>
    <w:pPr>
      <w:adjustRightInd w:val="0"/>
      <w:spacing w:line="312" w:lineRule="atLeast"/>
      <w:jc w:val="center"/>
      <w:textAlignment w:val="baseline"/>
      <w:outlineLvl w:val="1"/>
    </w:pPr>
    <w:rPr>
      <w:rFonts w:hAnsi="宋体"/>
      <w:b/>
      <w:bCs/>
      <w:kern w:val="0"/>
      <w:sz w:val="24"/>
      <w:szCs w:val="21"/>
    </w:rPr>
  </w:style>
  <w:style w:type="character" w:customStyle="1" w:styleId="53">
    <w:name w:val="正文文本缩进 字符"/>
    <w:basedOn w:val="32"/>
    <w:link w:val="10"/>
    <w:qFormat/>
    <w:uiPriority w:val="0"/>
    <w:rPr>
      <w:rFonts w:ascii="宋体" w:hAnsi="宋体" w:eastAsia="宋体" w:cs="Times New Roman"/>
      <w:kern w:val="0"/>
      <w:sz w:val="24"/>
      <w:szCs w:val="21"/>
    </w:rPr>
  </w:style>
  <w:style w:type="character" w:customStyle="1" w:styleId="54">
    <w:name w:val="批注框文本 字符"/>
    <w:basedOn w:val="32"/>
    <w:link w:val="17"/>
    <w:semiHidden/>
    <w:qFormat/>
    <w:uiPriority w:val="99"/>
    <w:rPr>
      <w:rFonts w:ascii="Times New Roman" w:hAnsi="Times New Roman" w:eastAsia="宋体" w:cs="Times New Roman"/>
      <w:sz w:val="18"/>
      <w:szCs w:val="18"/>
    </w:rPr>
  </w:style>
  <w:style w:type="paragraph" w:customStyle="1" w:styleId="5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character" w:customStyle="1" w:styleId="57">
    <w:name w:val="发布"/>
    <w:basedOn w:val="32"/>
    <w:qFormat/>
    <w:uiPriority w:val="0"/>
    <w:rPr>
      <w:rFonts w:ascii="黑体" w:eastAsia="黑体"/>
      <w:spacing w:val="22"/>
      <w:w w:val="100"/>
      <w:position w:val="3"/>
      <w:sz w:val="28"/>
    </w:rPr>
  </w:style>
  <w:style w:type="paragraph" w:customStyle="1" w:styleId="58">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9">
    <w:name w:val="发布日期"/>
    <w:qFormat/>
    <w:uiPriority w:val="0"/>
    <w:pPr>
      <w:framePr w:w="4000" w:h="473"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60">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kern w:val="0"/>
      <w:sz w:val="28"/>
      <w:szCs w:val="20"/>
      <w:lang w:val="en-US" w:eastAsia="zh-CN" w:bidi="ar-SA"/>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62">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character" w:customStyle="1" w:styleId="63">
    <w:name w:val="正文文本 3 字符"/>
    <w:basedOn w:val="32"/>
    <w:link w:val="8"/>
    <w:qFormat/>
    <w:uiPriority w:val="0"/>
    <w:rPr>
      <w:rFonts w:ascii="Times New Roman" w:hAnsi="Times New Roman" w:eastAsia="宋体" w:cs="Times New Roman"/>
      <w:sz w:val="16"/>
      <w:szCs w:val="16"/>
    </w:rPr>
  </w:style>
  <w:style w:type="paragraph" w:customStyle="1" w:styleId="64">
    <w:name w:val="缩2"/>
    <w:basedOn w:val="1"/>
    <w:qFormat/>
    <w:uiPriority w:val="0"/>
    <w:pPr>
      <w:spacing w:line="360" w:lineRule="auto"/>
      <w:ind w:firstLine="200" w:firstLineChars="200"/>
    </w:pPr>
    <w:rPr>
      <w:sz w:val="24"/>
    </w:rPr>
  </w:style>
  <w:style w:type="character" w:customStyle="1" w:styleId="65">
    <w:name w:val="日期 字符"/>
    <w:basedOn w:val="32"/>
    <w:link w:val="15"/>
    <w:qFormat/>
    <w:uiPriority w:val="0"/>
    <w:rPr>
      <w:rFonts w:ascii="Times New Roman" w:hAnsi="Times New Roman" w:eastAsia="宋体" w:cs="Times New Roman"/>
      <w:szCs w:val="24"/>
    </w:rPr>
  </w:style>
  <w:style w:type="character" w:customStyle="1" w:styleId="66">
    <w:name w:val="HTML 预设格式 字符"/>
    <w:basedOn w:val="32"/>
    <w:link w:val="28"/>
    <w:qFormat/>
    <w:uiPriority w:val="0"/>
    <w:rPr>
      <w:rFonts w:ascii="黑体" w:hAnsi="Courier New" w:eastAsia="黑体" w:cs="Courier New"/>
      <w:kern w:val="0"/>
      <w:sz w:val="20"/>
      <w:szCs w:val="20"/>
    </w:rPr>
  </w:style>
  <w:style w:type="paragraph" w:customStyle="1" w:styleId="67">
    <w:name w:val="样式 宋体 小四 黑色 左 段前: 5 磅 段后: 5 磅 行距: 1.5 倍行距"/>
    <w:basedOn w:val="1"/>
    <w:qFormat/>
    <w:uiPriority w:val="0"/>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68">
    <w:name w:val="样式 样式2 + 宋体 非加粗 黑色 两端对齐 段前: 5 磅 段后: 5 磅 行距: 1.5 倍行距"/>
    <w:basedOn w:val="52"/>
    <w:uiPriority w:val="0"/>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69">
    <w:name w:val="节样式"/>
    <w:basedOn w:val="3"/>
    <w:next w:val="1"/>
    <w:uiPriority w:val="0"/>
    <w:pPr>
      <w:spacing w:beforeLines="0" w:afterLines="0"/>
    </w:pPr>
    <w:rPr>
      <w:rFonts w:ascii="黑体" w:hAnsi="黑体"/>
      <w:b/>
      <w:color w:val="000000"/>
    </w:rPr>
  </w:style>
  <w:style w:type="paragraph" w:customStyle="1" w:styleId="70">
    <w:name w:val="样式 纯文本 + 左 段前: 5 磅 段后: 5 磅 行距: 1.5 倍行距"/>
    <w:basedOn w:val="13"/>
    <w:qFormat/>
    <w:uiPriority w:val="0"/>
    <w:pPr>
      <w:spacing w:line="360" w:lineRule="auto"/>
      <w:jc w:val="left"/>
    </w:pPr>
    <w:rPr>
      <w:rFonts w:cs="宋体"/>
      <w:szCs w:val="20"/>
    </w:rPr>
  </w:style>
  <w:style w:type="paragraph" w:customStyle="1" w:styleId="71">
    <w:name w:val="样式 样式 宋体 小四 黑色 左 段前: 5 磅 段后: 5 磅 行距: 1.5 倍行距 + 五号"/>
    <w:basedOn w:val="67"/>
    <w:qFormat/>
    <w:uiPriority w:val="0"/>
    <w:pPr>
      <w:spacing w:before="0" w:beforeAutospacing="0" w:after="0" w:afterAutospacing="0"/>
      <w:contextualSpacing w:val="0"/>
    </w:pPr>
    <w:rPr>
      <w:sz w:val="21"/>
    </w:rPr>
  </w:style>
  <w:style w:type="paragraph" w:customStyle="1" w:styleId="72">
    <w:name w:val="样式1"/>
    <w:basedOn w:val="20"/>
    <w:uiPriority w:val="0"/>
    <w:pPr>
      <w:adjustRightInd w:val="0"/>
      <w:spacing w:line="312" w:lineRule="atLeast"/>
      <w:textAlignment w:val="baseline"/>
      <w:outlineLvl w:val="0"/>
    </w:pPr>
    <w:rPr>
      <w:rFonts w:ascii="Times New Roman" w:hAnsi="宋体"/>
      <w:b w:val="0"/>
      <w:bCs w:val="0"/>
      <w:kern w:val="0"/>
      <w:szCs w:val="21"/>
    </w:rPr>
  </w:style>
  <w:style w:type="character" w:customStyle="1" w:styleId="73">
    <w:name w:val="正文文本 2 字符"/>
    <w:basedOn w:val="32"/>
    <w:link w:val="26"/>
    <w:qFormat/>
    <w:uiPriority w:val="0"/>
    <w:rPr>
      <w:rFonts w:ascii="Times New Roman" w:hAnsi="Times New Roman" w:eastAsia="宋体" w:cs="Times New Roman"/>
      <w:strike/>
      <w:color w:val="0000FF"/>
      <w:szCs w:val="24"/>
    </w:rPr>
  </w:style>
  <w:style w:type="character" w:customStyle="1" w:styleId="74">
    <w:name w:val="样式2 Char"/>
    <w:basedOn w:val="32"/>
    <w:qFormat/>
    <w:uiPriority w:val="0"/>
    <w:rPr>
      <w:rFonts w:ascii="宋体" w:hAnsi="宋体" w:eastAsia="宋体" w:cs="Courier New"/>
      <w:b/>
      <w:bCs/>
      <w:kern w:val="2"/>
      <w:sz w:val="24"/>
      <w:szCs w:val="21"/>
      <w:lang w:val="en-US" w:eastAsia="zh-CN" w:bidi="ar-SA"/>
    </w:rPr>
  </w:style>
  <w:style w:type="character" w:customStyle="1" w:styleId="75">
    <w:name w:val="正文文本缩进 2 字符"/>
    <w:basedOn w:val="32"/>
    <w:link w:val="16"/>
    <w:uiPriority w:val="0"/>
    <w:rPr>
      <w:rFonts w:ascii="Times New Roman" w:hAnsi="Times New Roman" w:eastAsia="宋体" w:cs="Times New Roman"/>
      <w:szCs w:val="24"/>
    </w:rPr>
  </w:style>
  <w:style w:type="paragraph" w:customStyle="1" w:styleId="76">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77">
    <w:name w:val="Char2"/>
    <w:basedOn w:val="1"/>
    <w:uiPriority w:val="0"/>
    <w:pPr>
      <w:widowControl/>
      <w:spacing w:after="160" w:line="240" w:lineRule="exact"/>
      <w:jc w:val="left"/>
    </w:pPr>
    <w:rPr>
      <w:rFonts w:ascii="Verdana" w:hAnsi="Verdana"/>
      <w:kern w:val="0"/>
      <w:sz w:val="20"/>
      <w:szCs w:val="20"/>
      <w:lang w:eastAsia="en-US"/>
    </w:rPr>
  </w:style>
  <w:style w:type="character" w:customStyle="1" w:styleId="78">
    <w:name w:val="批注文字 字符"/>
    <w:basedOn w:val="32"/>
    <w:link w:val="7"/>
    <w:semiHidden/>
    <w:uiPriority w:val="0"/>
    <w:rPr>
      <w:rFonts w:ascii="Times New Roman" w:hAnsi="Times New Roman" w:eastAsia="宋体" w:cs="Times New Roman"/>
      <w:szCs w:val="24"/>
    </w:rPr>
  </w:style>
  <w:style w:type="character" w:customStyle="1" w:styleId="79">
    <w:name w:val="Char Char"/>
    <w:basedOn w:val="32"/>
    <w:locked/>
    <w:uiPriority w:val="0"/>
    <w:rPr>
      <w:rFonts w:ascii="宋体" w:hAnsi="Courier New" w:eastAsia="宋体" w:cs="Courier New"/>
      <w:kern w:val="2"/>
      <w:sz w:val="21"/>
      <w:szCs w:val="21"/>
      <w:lang w:val="en-US" w:eastAsia="zh-CN" w:bidi="ar-SA"/>
    </w:rPr>
  </w:style>
  <w:style w:type="paragraph" w:customStyle="1" w:styleId="80">
    <w:name w:val="正文样式"/>
    <w:basedOn w:val="9"/>
    <w:qFormat/>
    <w:uiPriority w:val="0"/>
    <w:pPr>
      <w:spacing w:line="360" w:lineRule="auto"/>
      <w:jc w:val="left"/>
    </w:pPr>
    <w:rPr>
      <w:rFonts w:ascii="宋体" w:cs="宋体"/>
      <w:color w:val="auto"/>
      <w:sz w:val="24"/>
      <w:szCs w:val="20"/>
    </w:rPr>
  </w:style>
  <w:style w:type="character" w:customStyle="1" w:styleId="81">
    <w:name w:val="apple-converted-space"/>
    <w:basedOn w:val="32"/>
    <w:qFormat/>
    <w:uiPriority w:val="0"/>
  </w:style>
  <w:style w:type="character" w:customStyle="1" w:styleId="82">
    <w:name w:val="批注主题 Char"/>
    <w:link w:val="83"/>
    <w:qFormat/>
    <w:uiPriority w:val="0"/>
    <w:rPr>
      <w:rFonts w:ascii="Times New Roman" w:hAnsi="Times New Roman" w:eastAsia="宋体" w:cs="Times New Roman"/>
      <w:b/>
      <w:bCs/>
      <w:szCs w:val="24"/>
    </w:rPr>
  </w:style>
  <w:style w:type="paragraph" w:customStyle="1" w:styleId="83">
    <w:name w:val="批注主题1"/>
    <w:basedOn w:val="7"/>
    <w:next w:val="7"/>
    <w:link w:val="82"/>
    <w:qFormat/>
    <w:uiPriority w:val="0"/>
    <w:rPr>
      <w:b/>
      <w:bCs/>
    </w:rPr>
  </w:style>
  <w:style w:type="paragraph" w:styleId="84">
    <w:name w:val="List Paragraph"/>
    <w:basedOn w:val="1"/>
    <w:qFormat/>
    <w:uiPriority w:val="34"/>
    <w:pPr>
      <w:ind w:firstLine="420" w:firstLineChars="200"/>
    </w:pPr>
  </w:style>
  <w:style w:type="paragraph" w:customStyle="1" w:styleId="85">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86">
    <w:name w:val="标题 3 字符"/>
    <w:basedOn w:val="32"/>
    <w:link w:val="4"/>
    <w:semiHidden/>
    <w:qFormat/>
    <w:uiPriority w:val="9"/>
    <w:rPr>
      <w:rFonts w:ascii="Times New Roman" w:hAnsi="Times New Roman" w:eastAsia="宋体" w:cs="Times New Roman"/>
      <w:b/>
      <w:bCs/>
      <w:sz w:val="32"/>
      <w:szCs w:val="32"/>
    </w:rPr>
  </w:style>
  <w:style w:type="paragraph" w:customStyle="1" w:styleId="87">
    <w:name w:val="A1"/>
    <w:basedOn w:val="1"/>
    <w:qFormat/>
    <w:uiPriority w:val="0"/>
    <w:pPr>
      <w:spacing w:line="360" w:lineRule="auto"/>
      <w:jc w:val="left"/>
      <w:outlineLvl w:val="0"/>
    </w:pPr>
    <w:rPr>
      <w:rFonts w:ascii="宋体" w:hAnsi="宋体"/>
      <w:b/>
      <w:sz w:val="24"/>
    </w:rPr>
  </w:style>
  <w:style w:type="paragraph" w:customStyle="1" w:styleId="88">
    <w:name w:val="A2"/>
    <w:basedOn w:val="1"/>
    <w:qFormat/>
    <w:uiPriority w:val="0"/>
    <w:pPr>
      <w:spacing w:line="360" w:lineRule="auto"/>
      <w:jc w:val="left"/>
      <w:outlineLvl w:val="1"/>
    </w:pPr>
    <w:rPr>
      <w:rFonts w:asciiTheme="minorEastAsia" w:hAnsiTheme="minorEastAsia" w:eastAsiaTheme="minorEastAsia"/>
      <w:kern w:val="0"/>
      <w:sz w:val="24"/>
    </w:rPr>
  </w:style>
  <w:style w:type="paragraph" w:customStyle="1" w:styleId="89">
    <w:name w:val="样式3"/>
    <w:basedOn w:val="88"/>
    <w:qFormat/>
    <w:uiPriority w:val="0"/>
    <w:rPr>
      <w:rFonts w:eastAsia="宋体"/>
    </w:rPr>
  </w:style>
  <w:style w:type="paragraph" w:customStyle="1" w:styleId="90">
    <w:name w:val="A3"/>
    <w:basedOn w:val="1"/>
    <w:qFormat/>
    <w:uiPriority w:val="0"/>
    <w:pPr>
      <w:spacing w:line="360" w:lineRule="auto"/>
      <w:ind w:firstLine="200" w:firstLineChars="200"/>
      <w:outlineLvl w:val="2"/>
    </w:pPr>
    <w:rPr>
      <w:rFonts w:asciiTheme="minorEastAsia" w:hAnsiTheme="minorEastAsia"/>
      <w:kern w:val="0"/>
      <w:sz w:val="24"/>
    </w:rPr>
  </w:style>
  <w:style w:type="paragraph" w:customStyle="1" w:styleId="9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92">
    <w:name w:val="标题 字符"/>
    <w:basedOn w:val="32"/>
    <w:link w:val="29"/>
    <w:qFormat/>
    <w:uiPriority w:val="10"/>
    <w:rPr>
      <w:rFonts w:asciiTheme="majorHAnsi" w:hAnsiTheme="majorHAnsi" w:eastAsiaTheme="majorEastAsia" w:cstheme="majorBidi"/>
      <w:b/>
      <w:bCs/>
      <w:sz w:val="32"/>
      <w:szCs w:val="32"/>
    </w:rPr>
  </w:style>
  <w:style w:type="character" w:customStyle="1" w:styleId="93">
    <w:name w:val="副标题 字符"/>
    <w:basedOn w:val="32"/>
    <w:link w:val="22"/>
    <w:qFormat/>
    <w:uiPriority w:val="11"/>
    <w:rPr>
      <w:b/>
      <w:bCs/>
      <w:kern w:val="28"/>
      <w:sz w:val="32"/>
      <w:szCs w:val="32"/>
    </w:rPr>
  </w:style>
  <w:style w:type="character" w:customStyle="1" w:styleId="94">
    <w:name w:val="Subtle Emphasis"/>
    <w:basedOn w:val="32"/>
    <w:qFormat/>
    <w:uiPriority w:val="19"/>
    <w:rPr>
      <w:i/>
      <w:iCs/>
      <w:color w:val="404040" w:themeColor="text1" w:themeTint="BF"/>
      <w14:textFill>
        <w14:solidFill>
          <w14:schemeClr w14:val="tx1">
            <w14:lumMod w14:val="75000"/>
            <w14:lumOff w14:val="25000"/>
          </w14:schemeClr>
        </w14:solidFill>
      </w14:textFill>
    </w:rPr>
  </w:style>
  <w:style w:type="character" w:customStyle="1" w:styleId="95">
    <w:name w:val="Intense Emphasis"/>
    <w:basedOn w:val="32"/>
    <w:qFormat/>
    <w:uiPriority w:val="21"/>
    <w:rPr>
      <w:i/>
      <w:i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C4037-64A1-41DB-AD79-5C3F686FC0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9422</Words>
  <Characters>14665</Characters>
  <Lines>139</Lines>
  <Paragraphs>39</Paragraphs>
  <TotalTime>102</TotalTime>
  <ScaleCrop>false</ScaleCrop>
  <LinksUpToDate>false</LinksUpToDate>
  <CharactersWithSpaces>15361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2023-04-11T02:17:00Z</dcterms:created>
  <dc:creator>pc</dc:creator>
  <cp:lastModifiedBy>dong</cp:lastModifiedBy>
  <dcterms:modified xsi:type="dcterms:W3CDTF">2023-04-13T02:08:36Z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1CF7A59BF296426289EDBCCABA5C181B_12</vt:lpwstr>
  </property>
</Properties>
</file>